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6B" w:rsidRPr="0082373C" w:rsidRDefault="00C10956">
      <w:pPr>
        <w:rPr>
          <w:b/>
          <w:u w:val="single"/>
        </w:rPr>
      </w:pPr>
      <w:bookmarkStart w:id="0" w:name="_GoBack"/>
      <w:bookmarkEnd w:id="0"/>
      <w:r>
        <w:rPr>
          <w:b/>
          <w:u w:val="single"/>
        </w:rPr>
        <w:t>Metacognition</w:t>
      </w:r>
      <w:r w:rsidR="00686D1D" w:rsidRPr="0082373C">
        <w:rPr>
          <w:b/>
          <w:u w:val="single"/>
        </w:rPr>
        <w:t xml:space="preserve"> Jigsaw</w:t>
      </w:r>
      <w:r>
        <w:rPr>
          <w:b/>
          <w:u w:val="single"/>
        </w:rPr>
        <w:t xml:space="preserve">, Part </w:t>
      </w:r>
      <w:r w:rsidR="008D3950">
        <w:rPr>
          <w:b/>
          <w:u w:val="single"/>
        </w:rPr>
        <w:t>2</w:t>
      </w:r>
      <w:r>
        <w:rPr>
          <w:b/>
          <w:u w:val="single"/>
        </w:rPr>
        <w:t xml:space="preserve">:  </w:t>
      </w:r>
      <w:r w:rsidR="008D3950">
        <w:rPr>
          <w:b/>
          <w:u w:val="single"/>
        </w:rPr>
        <w:t>Strategies</w:t>
      </w:r>
    </w:p>
    <w:p w:rsidR="00686D1D" w:rsidRDefault="00686D1D"/>
    <w:p w:rsidR="005B4D63" w:rsidRDefault="005B4D63">
      <w:r>
        <w:t xml:space="preserve">For this activity, you will divide into </w:t>
      </w:r>
      <w:r w:rsidR="00EA135E">
        <w:t xml:space="preserve">the same expert and home </w:t>
      </w:r>
      <w:r>
        <w:t>groups</w:t>
      </w:r>
      <w:r w:rsidR="00EA135E">
        <w:t xml:space="preserve"> as before</w:t>
      </w:r>
      <w:r>
        <w:t xml:space="preserve">.  </w:t>
      </w:r>
      <w:r w:rsidR="00EA135E">
        <w:t>You will continue reading about the same two facets of metacognition, but this time you will be focusing on strategies you can use to help students develop skills related to those facets.</w:t>
      </w:r>
    </w:p>
    <w:p w:rsidR="005B4D63" w:rsidRDefault="005B4D63"/>
    <w:p w:rsidR="005B4D63" w:rsidRDefault="009F7F9D">
      <w:r>
        <w:t xml:space="preserve">1.  </w:t>
      </w:r>
      <w:r w:rsidR="0082373C">
        <w:t xml:space="preserve">(10 min) </w:t>
      </w:r>
      <w:r w:rsidR="005B4D63">
        <w:t xml:space="preserve">In your expert group, read your assigned section of </w:t>
      </w:r>
      <w:r w:rsidR="005B4D63">
        <w:rPr>
          <w:u w:val="single"/>
        </w:rPr>
        <w:t xml:space="preserve">How </w:t>
      </w:r>
      <w:r w:rsidR="00EA135E">
        <w:rPr>
          <w:u w:val="single"/>
        </w:rPr>
        <w:t>Learning Works</w:t>
      </w:r>
      <w:r w:rsidR="005B4D63">
        <w:t>:</w:t>
      </w:r>
    </w:p>
    <w:p w:rsidR="005B4D63" w:rsidRDefault="005B4D63"/>
    <w:tbl>
      <w:tblPr>
        <w:tblStyle w:val="TableGrid"/>
        <w:tblW w:w="0" w:type="auto"/>
        <w:tblLook w:val="04A0" w:firstRow="1" w:lastRow="0" w:firstColumn="1" w:lastColumn="0" w:noHBand="0" w:noVBand="1"/>
      </w:tblPr>
      <w:tblGrid>
        <w:gridCol w:w="937"/>
        <w:gridCol w:w="5831"/>
        <w:gridCol w:w="2808"/>
      </w:tblGrid>
      <w:tr w:rsidR="0088121D" w:rsidTr="0082373C">
        <w:tc>
          <w:tcPr>
            <w:tcW w:w="937" w:type="dxa"/>
          </w:tcPr>
          <w:p w:rsidR="0088121D" w:rsidRPr="00B84164" w:rsidRDefault="0088121D" w:rsidP="00E00A6A">
            <w:pPr>
              <w:rPr>
                <w:b/>
              </w:rPr>
            </w:pPr>
            <w:r w:rsidRPr="00B84164">
              <w:rPr>
                <w:b/>
              </w:rPr>
              <w:t>Groups</w:t>
            </w:r>
          </w:p>
        </w:tc>
        <w:tc>
          <w:tcPr>
            <w:tcW w:w="5831" w:type="dxa"/>
          </w:tcPr>
          <w:p w:rsidR="0088121D" w:rsidRPr="00B84164" w:rsidRDefault="0088121D" w:rsidP="00E00A6A">
            <w:pPr>
              <w:rPr>
                <w:b/>
              </w:rPr>
            </w:pPr>
            <w:r w:rsidRPr="00B84164">
              <w:rPr>
                <w:b/>
              </w:rPr>
              <w:t>Reading</w:t>
            </w:r>
          </w:p>
        </w:tc>
        <w:tc>
          <w:tcPr>
            <w:tcW w:w="2808" w:type="dxa"/>
          </w:tcPr>
          <w:p w:rsidR="0088121D" w:rsidRPr="00B84164" w:rsidRDefault="0088121D" w:rsidP="00E00A6A">
            <w:pPr>
              <w:rPr>
                <w:b/>
              </w:rPr>
            </w:pPr>
            <w:r w:rsidRPr="00B84164">
              <w:rPr>
                <w:b/>
              </w:rPr>
              <w:t>Pages</w:t>
            </w:r>
          </w:p>
        </w:tc>
      </w:tr>
      <w:tr w:rsidR="00724DC1" w:rsidTr="00707111">
        <w:trPr>
          <w:trHeight w:val="260"/>
        </w:trPr>
        <w:tc>
          <w:tcPr>
            <w:tcW w:w="937" w:type="dxa"/>
            <w:vMerge w:val="restart"/>
            <w:vAlign w:val="center"/>
          </w:tcPr>
          <w:p w:rsidR="00724DC1" w:rsidRDefault="008F1725" w:rsidP="007C1D34">
            <w:pPr>
              <w:jc w:val="center"/>
            </w:pPr>
            <w:r>
              <w:t>A, B</w:t>
            </w:r>
          </w:p>
        </w:tc>
        <w:tc>
          <w:tcPr>
            <w:tcW w:w="5831" w:type="dxa"/>
          </w:tcPr>
          <w:p w:rsidR="00724DC1" w:rsidRPr="009F7F9D" w:rsidRDefault="00724DC1" w:rsidP="00724DC1">
            <w:pPr>
              <w:rPr>
                <w:rFonts w:asciiTheme="minorHAnsi" w:hAnsiTheme="minorHAnsi"/>
              </w:rPr>
            </w:pPr>
            <w:r>
              <w:rPr>
                <w:rFonts w:asciiTheme="minorHAnsi" w:hAnsiTheme="minorHAnsi"/>
              </w:rPr>
              <w:t>Assessing &amp; Evaluating</w:t>
            </w:r>
          </w:p>
        </w:tc>
        <w:tc>
          <w:tcPr>
            <w:tcW w:w="2808" w:type="dxa"/>
          </w:tcPr>
          <w:p w:rsidR="00724DC1" w:rsidRPr="009F7F9D" w:rsidRDefault="00724DC1" w:rsidP="00724DC1">
            <w:pPr>
              <w:rPr>
                <w:rFonts w:asciiTheme="minorHAnsi" w:hAnsiTheme="minorHAnsi" w:cs="Arial"/>
              </w:rPr>
            </w:pPr>
            <w:r>
              <w:rPr>
                <w:rFonts w:asciiTheme="minorHAnsi" w:hAnsiTheme="minorHAnsi" w:cs="Arial"/>
              </w:rPr>
              <w:t>204-207 (top)</w:t>
            </w:r>
          </w:p>
        </w:tc>
      </w:tr>
      <w:tr w:rsidR="00724DC1" w:rsidTr="00707111">
        <w:trPr>
          <w:trHeight w:val="260"/>
        </w:trPr>
        <w:tc>
          <w:tcPr>
            <w:tcW w:w="937" w:type="dxa"/>
            <w:vMerge/>
            <w:vAlign w:val="center"/>
          </w:tcPr>
          <w:p w:rsidR="00724DC1" w:rsidRDefault="00724DC1" w:rsidP="00724DC1">
            <w:pPr>
              <w:jc w:val="center"/>
            </w:pPr>
          </w:p>
        </w:tc>
        <w:tc>
          <w:tcPr>
            <w:tcW w:w="5831" w:type="dxa"/>
          </w:tcPr>
          <w:p w:rsidR="00724DC1" w:rsidRDefault="00724DC1" w:rsidP="00724DC1">
            <w:pPr>
              <w:rPr>
                <w:rFonts w:asciiTheme="minorHAnsi" w:hAnsiTheme="minorHAnsi"/>
              </w:rPr>
            </w:pPr>
            <w:r>
              <w:rPr>
                <w:rFonts w:asciiTheme="minorHAnsi" w:hAnsiTheme="minorHAnsi"/>
              </w:rPr>
              <w:t>General strategies</w:t>
            </w:r>
          </w:p>
        </w:tc>
        <w:tc>
          <w:tcPr>
            <w:tcW w:w="2808" w:type="dxa"/>
          </w:tcPr>
          <w:p w:rsidR="00724DC1" w:rsidRDefault="00724DC1" w:rsidP="00724DC1">
            <w:pPr>
              <w:rPr>
                <w:rFonts w:asciiTheme="minorHAnsi" w:hAnsiTheme="minorHAnsi" w:cs="Arial"/>
              </w:rPr>
            </w:pPr>
            <w:r>
              <w:rPr>
                <w:rFonts w:asciiTheme="minorHAnsi" w:hAnsiTheme="minorHAnsi" w:cs="Arial"/>
              </w:rPr>
              <w:t>213 (bottom)-216</w:t>
            </w:r>
          </w:p>
        </w:tc>
      </w:tr>
      <w:tr w:rsidR="00724DC1" w:rsidTr="00707111">
        <w:trPr>
          <w:trHeight w:val="259"/>
        </w:trPr>
        <w:tc>
          <w:tcPr>
            <w:tcW w:w="937" w:type="dxa"/>
            <w:vMerge w:val="restart"/>
            <w:vAlign w:val="center"/>
          </w:tcPr>
          <w:p w:rsidR="00724DC1" w:rsidRDefault="007C1D34" w:rsidP="00724DC1">
            <w:pPr>
              <w:jc w:val="center"/>
            </w:pPr>
            <w:r>
              <w:t>C, D</w:t>
            </w:r>
          </w:p>
        </w:tc>
        <w:tc>
          <w:tcPr>
            <w:tcW w:w="5831" w:type="dxa"/>
          </w:tcPr>
          <w:p w:rsidR="00724DC1" w:rsidRPr="009F7F9D" w:rsidRDefault="00724DC1" w:rsidP="00724DC1">
            <w:pPr>
              <w:rPr>
                <w:rFonts w:asciiTheme="minorHAnsi" w:hAnsiTheme="minorHAnsi"/>
              </w:rPr>
            </w:pPr>
            <w:r>
              <w:rPr>
                <w:rFonts w:asciiTheme="minorHAnsi" w:hAnsiTheme="minorHAnsi"/>
              </w:rPr>
              <w:t>Planning &amp; Applying Strategies</w:t>
            </w:r>
          </w:p>
        </w:tc>
        <w:tc>
          <w:tcPr>
            <w:tcW w:w="2808" w:type="dxa"/>
          </w:tcPr>
          <w:p w:rsidR="00724DC1" w:rsidRPr="009F7F9D" w:rsidRDefault="00724DC1" w:rsidP="00724DC1">
            <w:pPr>
              <w:rPr>
                <w:rFonts w:asciiTheme="minorHAnsi" w:hAnsiTheme="minorHAnsi" w:cs="Arial"/>
              </w:rPr>
            </w:pPr>
            <w:r>
              <w:rPr>
                <w:rFonts w:asciiTheme="minorHAnsi" w:hAnsiTheme="minorHAnsi" w:cs="Arial"/>
              </w:rPr>
              <w:t>207-210 (top)</w:t>
            </w:r>
          </w:p>
        </w:tc>
      </w:tr>
      <w:tr w:rsidR="00724DC1" w:rsidTr="00707111">
        <w:trPr>
          <w:trHeight w:val="259"/>
        </w:trPr>
        <w:tc>
          <w:tcPr>
            <w:tcW w:w="937" w:type="dxa"/>
            <w:vMerge/>
            <w:vAlign w:val="center"/>
          </w:tcPr>
          <w:p w:rsidR="00724DC1" w:rsidRDefault="00724DC1" w:rsidP="00724DC1">
            <w:pPr>
              <w:jc w:val="center"/>
            </w:pPr>
          </w:p>
        </w:tc>
        <w:tc>
          <w:tcPr>
            <w:tcW w:w="5831" w:type="dxa"/>
          </w:tcPr>
          <w:p w:rsidR="00724DC1" w:rsidRDefault="00724DC1" w:rsidP="00724DC1">
            <w:pPr>
              <w:rPr>
                <w:rFonts w:asciiTheme="minorHAnsi" w:hAnsiTheme="minorHAnsi"/>
              </w:rPr>
            </w:pPr>
            <w:r>
              <w:rPr>
                <w:rFonts w:asciiTheme="minorHAnsi" w:hAnsiTheme="minorHAnsi"/>
              </w:rPr>
              <w:t>General strategies</w:t>
            </w:r>
          </w:p>
        </w:tc>
        <w:tc>
          <w:tcPr>
            <w:tcW w:w="2808" w:type="dxa"/>
          </w:tcPr>
          <w:p w:rsidR="00724DC1" w:rsidRDefault="00724DC1" w:rsidP="00724DC1">
            <w:pPr>
              <w:rPr>
                <w:rFonts w:asciiTheme="minorHAnsi" w:hAnsiTheme="minorHAnsi" w:cs="Arial"/>
              </w:rPr>
            </w:pPr>
            <w:r>
              <w:rPr>
                <w:rFonts w:asciiTheme="minorHAnsi" w:hAnsiTheme="minorHAnsi" w:cs="Arial"/>
              </w:rPr>
              <w:t>213 (bottom)-216</w:t>
            </w:r>
          </w:p>
        </w:tc>
      </w:tr>
      <w:tr w:rsidR="00724DC1" w:rsidTr="00707111">
        <w:trPr>
          <w:trHeight w:val="260"/>
        </w:trPr>
        <w:tc>
          <w:tcPr>
            <w:tcW w:w="937" w:type="dxa"/>
            <w:vMerge w:val="restart"/>
            <w:vAlign w:val="center"/>
          </w:tcPr>
          <w:p w:rsidR="00724DC1" w:rsidRDefault="007C1D34" w:rsidP="00724DC1">
            <w:pPr>
              <w:jc w:val="center"/>
            </w:pPr>
            <w:r>
              <w:t>E, F</w:t>
            </w:r>
          </w:p>
        </w:tc>
        <w:tc>
          <w:tcPr>
            <w:tcW w:w="5831" w:type="dxa"/>
          </w:tcPr>
          <w:p w:rsidR="00724DC1" w:rsidRPr="009F7F9D" w:rsidRDefault="00724DC1" w:rsidP="00724DC1">
            <w:pPr>
              <w:rPr>
                <w:rFonts w:asciiTheme="minorHAnsi" w:hAnsiTheme="minorHAnsi"/>
              </w:rPr>
            </w:pPr>
            <w:r>
              <w:rPr>
                <w:rFonts w:asciiTheme="minorHAnsi" w:hAnsiTheme="minorHAnsi" w:cs="Arial"/>
              </w:rPr>
              <w:t>Reflecting/adjusting &amp; Beliefs</w:t>
            </w:r>
            <w:r w:rsidRPr="009F7F9D">
              <w:rPr>
                <w:rFonts w:asciiTheme="minorHAnsi" w:hAnsiTheme="minorHAnsi" w:cs="Arial"/>
              </w:rPr>
              <w:t xml:space="preserve"> </w:t>
            </w:r>
          </w:p>
        </w:tc>
        <w:tc>
          <w:tcPr>
            <w:tcW w:w="2808" w:type="dxa"/>
          </w:tcPr>
          <w:p w:rsidR="00724DC1" w:rsidRPr="009F7F9D" w:rsidRDefault="00724DC1" w:rsidP="00724DC1">
            <w:pPr>
              <w:rPr>
                <w:rFonts w:asciiTheme="minorHAnsi" w:hAnsiTheme="minorHAnsi" w:cs="Arial"/>
              </w:rPr>
            </w:pPr>
            <w:r>
              <w:rPr>
                <w:rFonts w:asciiTheme="minorHAnsi" w:hAnsiTheme="minorHAnsi" w:cs="Arial"/>
              </w:rPr>
              <w:t>210-213</w:t>
            </w:r>
            <w:r w:rsidRPr="009F7F9D">
              <w:rPr>
                <w:rFonts w:asciiTheme="minorHAnsi" w:hAnsiTheme="minorHAnsi" w:cs="Arial"/>
              </w:rPr>
              <w:t xml:space="preserve"> </w:t>
            </w:r>
          </w:p>
        </w:tc>
      </w:tr>
      <w:tr w:rsidR="00707111" w:rsidTr="0082373C">
        <w:trPr>
          <w:trHeight w:val="260"/>
        </w:trPr>
        <w:tc>
          <w:tcPr>
            <w:tcW w:w="937" w:type="dxa"/>
            <w:vMerge/>
          </w:tcPr>
          <w:p w:rsidR="00707111" w:rsidRDefault="00707111" w:rsidP="00707111"/>
        </w:tc>
        <w:tc>
          <w:tcPr>
            <w:tcW w:w="5831" w:type="dxa"/>
          </w:tcPr>
          <w:p w:rsidR="00707111" w:rsidRDefault="00B11F71" w:rsidP="00707111">
            <w:pPr>
              <w:rPr>
                <w:rFonts w:asciiTheme="minorHAnsi" w:hAnsiTheme="minorHAnsi"/>
              </w:rPr>
            </w:pPr>
            <w:r>
              <w:rPr>
                <w:rFonts w:asciiTheme="minorHAnsi" w:hAnsiTheme="minorHAnsi"/>
              </w:rPr>
              <w:t>General strategies</w:t>
            </w:r>
          </w:p>
        </w:tc>
        <w:tc>
          <w:tcPr>
            <w:tcW w:w="2808" w:type="dxa"/>
          </w:tcPr>
          <w:p w:rsidR="00707111" w:rsidRDefault="00B11F71" w:rsidP="00707111">
            <w:pPr>
              <w:rPr>
                <w:rFonts w:asciiTheme="minorHAnsi" w:hAnsiTheme="minorHAnsi" w:cs="Arial"/>
              </w:rPr>
            </w:pPr>
            <w:r>
              <w:rPr>
                <w:rFonts w:asciiTheme="minorHAnsi" w:hAnsiTheme="minorHAnsi" w:cs="Arial"/>
              </w:rPr>
              <w:t>213 (bottom)-216</w:t>
            </w:r>
          </w:p>
        </w:tc>
      </w:tr>
    </w:tbl>
    <w:p w:rsidR="005B4D63" w:rsidRDefault="005B4D63"/>
    <w:p w:rsidR="0088121D" w:rsidRDefault="009F7F9D" w:rsidP="0082373C">
      <w:pPr>
        <w:rPr>
          <w:rFonts w:asciiTheme="minorHAnsi" w:hAnsiTheme="minorHAnsi"/>
        </w:rPr>
      </w:pPr>
      <w:r>
        <w:t xml:space="preserve">2.  </w:t>
      </w:r>
      <w:r w:rsidR="0082373C">
        <w:t xml:space="preserve">(10 min) </w:t>
      </w:r>
      <w:r>
        <w:t xml:space="preserve">Individually, </w:t>
      </w:r>
      <w:r w:rsidR="005E1E07">
        <w:t>write responses</w:t>
      </w:r>
      <w:r>
        <w:t xml:space="preserve"> to the following prompts:</w:t>
      </w:r>
    </w:p>
    <w:p w:rsidR="0088121D" w:rsidRDefault="0088121D"/>
    <w:p w:rsidR="00290FDF" w:rsidRDefault="00290FDF" w:rsidP="00290FDF">
      <w:pPr>
        <w:pStyle w:val="ListParagraph"/>
        <w:numPr>
          <w:ilvl w:val="0"/>
          <w:numId w:val="3"/>
        </w:numPr>
        <w:rPr>
          <w:rFonts w:asciiTheme="minorHAnsi" w:hAnsiTheme="minorHAnsi"/>
        </w:rPr>
      </w:pPr>
      <w:r>
        <w:rPr>
          <w:rFonts w:asciiTheme="minorHAnsi" w:hAnsiTheme="minorHAnsi"/>
        </w:rPr>
        <w:t>Choose one strategy from the list you read, that you will commit to using in an upcoming class.  Describe how you will adapt the strategy to your class:  When will you use it?  How will you administer it?  How might you assess the outcome(s) related to this strategy?</w:t>
      </w: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290FDF" w:rsidRDefault="00290FDF" w:rsidP="00290FDF">
      <w:pPr>
        <w:pStyle w:val="ListParagraph"/>
        <w:rPr>
          <w:rFonts w:asciiTheme="minorHAnsi" w:hAnsiTheme="minorHAnsi"/>
        </w:rPr>
      </w:pPr>
    </w:p>
    <w:p w:rsidR="007D5489" w:rsidRDefault="007D5489" w:rsidP="007D5489">
      <w:pPr>
        <w:pStyle w:val="ListParagraph"/>
        <w:numPr>
          <w:ilvl w:val="0"/>
          <w:numId w:val="3"/>
        </w:numPr>
        <w:rPr>
          <w:rFonts w:asciiTheme="minorHAnsi" w:hAnsiTheme="minorHAnsi"/>
        </w:rPr>
      </w:pPr>
      <w:r>
        <w:rPr>
          <w:rFonts w:asciiTheme="minorHAnsi" w:hAnsiTheme="minorHAnsi"/>
        </w:rPr>
        <w:t>How might the use of one o</w:t>
      </w:r>
      <w:r w:rsidR="00290FDF">
        <w:rPr>
          <w:rFonts w:asciiTheme="minorHAnsi" w:hAnsiTheme="minorHAnsi"/>
        </w:rPr>
        <w:t>r more of these strategies promote equity</w:t>
      </w:r>
      <w:r>
        <w:rPr>
          <w:rFonts w:asciiTheme="minorHAnsi" w:hAnsiTheme="minorHAnsi"/>
        </w:rPr>
        <w:t xml:space="preserve"> for</w:t>
      </w:r>
      <w:r w:rsidR="00290FDF">
        <w:rPr>
          <w:rFonts w:asciiTheme="minorHAnsi" w:hAnsiTheme="minorHAnsi"/>
        </w:rPr>
        <w:t xml:space="preserve"> ALL students to engage in powerful learning</w:t>
      </w:r>
      <w:r>
        <w:rPr>
          <w:rFonts w:asciiTheme="minorHAnsi" w:hAnsiTheme="minorHAnsi"/>
        </w:rPr>
        <w:t xml:space="preserve">?  </w:t>
      </w:r>
    </w:p>
    <w:p w:rsidR="007D5489" w:rsidRDefault="007D5489" w:rsidP="007D5489">
      <w:pPr>
        <w:pStyle w:val="ListParagraph"/>
        <w:rPr>
          <w:rFonts w:asciiTheme="minorHAnsi" w:hAnsiTheme="minorHAnsi"/>
        </w:rPr>
      </w:pPr>
    </w:p>
    <w:p w:rsidR="007D5489" w:rsidRDefault="007D5489" w:rsidP="007D5489">
      <w:pPr>
        <w:pStyle w:val="ListParagraph"/>
        <w:rPr>
          <w:rFonts w:asciiTheme="minorHAnsi" w:hAnsiTheme="minorHAnsi"/>
        </w:rPr>
      </w:pPr>
    </w:p>
    <w:p w:rsidR="007D5489" w:rsidRDefault="007D5489" w:rsidP="007D5489">
      <w:pPr>
        <w:pStyle w:val="ListParagraph"/>
        <w:rPr>
          <w:rFonts w:asciiTheme="minorHAnsi" w:hAnsiTheme="minorHAnsi"/>
        </w:rPr>
      </w:pPr>
    </w:p>
    <w:p w:rsidR="007D5489" w:rsidRDefault="007D5489" w:rsidP="007D5489">
      <w:pPr>
        <w:pStyle w:val="ListParagraph"/>
        <w:rPr>
          <w:rFonts w:asciiTheme="minorHAnsi" w:hAnsiTheme="minorHAnsi"/>
        </w:rPr>
      </w:pPr>
    </w:p>
    <w:p w:rsidR="007D5489" w:rsidRDefault="007D5489" w:rsidP="007D5489">
      <w:pPr>
        <w:pStyle w:val="ListParagraph"/>
        <w:rPr>
          <w:rFonts w:asciiTheme="minorHAnsi" w:hAnsiTheme="minorHAnsi"/>
        </w:rPr>
      </w:pPr>
    </w:p>
    <w:p w:rsidR="007D5489" w:rsidRDefault="007D5489" w:rsidP="007D5489">
      <w:pPr>
        <w:pStyle w:val="ListParagraph"/>
        <w:rPr>
          <w:rFonts w:asciiTheme="minorHAnsi" w:hAnsiTheme="minorHAnsi"/>
        </w:rPr>
      </w:pPr>
    </w:p>
    <w:p w:rsidR="007D5489" w:rsidRDefault="007D5489" w:rsidP="007D5489">
      <w:pPr>
        <w:pStyle w:val="ListParagraph"/>
        <w:rPr>
          <w:rFonts w:asciiTheme="minorHAnsi" w:hAnsiTheme="minorHAnsi"/>
        </w:rPr>
      </w:pPr>
    </w:p>
    <w:p w:rsidR="007D5489" w:rsidRDefault="007D5489" w:rsidP="007D5489">
      <w:pPr>
        <w:pStyle w:val="ListParagraph"/>
        <w:rPr>
          <w:rFonts w:asciiTheme="minorHAnsi" w:hAnsiTheme="minorHAnsi"/>
        </w:rPr>
      </w:pPr>
    </w:p>
    <w:p w:rsidR="00707111" w:rsidRDefault="00707111" w:rsidP="00707111">
      <w:pPr>
        <w:pStyle w:val="ListParagraph"/>
        <w:rPr>
          <w:rFonts w:asciiTheme="minorHAnsi" w:hAnsiTheme="minorHAnsi"/>
        </w:rPr>
      </w:pPr>
    </w:p>
    <w:p w:rsidR="009F7F9D" w:rsidRDefault="0088121D" w:rsidP="009F7F9D">
      <w:r>
        <w:lastRenderedPageBreak/>
        <w:t>3</w:t>
      </w:r>
      <w:r w:rsidR="009F7F9D">
        <w:t xml:space="preserve">.  </w:t>
      </w:r>
      <w:r w:rsidR="0082373C">
        <w:t>(1</w:t>
      </w:r>
      <w:r w:rsidR="00707111">
        <w:t>0</w:t>
      </w:r>
      <w:r w:rsidR="0082373C">
        <w:t xml:space="preserve"> min) </w:t>
      </w:r>
      <w:r w:rsidR="00707111">
        <w:t>With</w:t>
      </w:r>
      <w:r w:rsidR="009F7F9D">
        <w:t xml:space="preserve"> your expert group</w:t>
      </w:r>
      <w:r w:rsidR="00707111">
        <w:t>, p</w:t>
      </w:r>
      <w:r w:rsidR="00707111" w:rsidRPr="00707111">
        <w:t xml:space="preserve">repare a </w:t>
      </w:r>
      <w:r w:rsidR="007D5489">
        <w:t>summary</w:t>
      </w:r>
      <w:r w:rsidR="00707111" w:rsidRPr="00707111">
        <w:t xml:space="preserve"> of </w:t>
      </w:r>
      <w:r w:rsidR="007D5489">
        <w:t xml:space="preserve">the strategies related to your assigned facets, to share with your home group.  </w:t>
      </w:r>
      <w:r w:rsidR="001A4DA4">
        <w:t xml:space="preserve">You may decide to choose to present a subset of strategies you think would be the most useful/adaptable.  </w:t>
      </w:r>
      <w:r w:rsidR="007D5489">
        <w:t xml:space="preserve">Then describe to your expert group how you might adapt one of the strategies to your own class.  </w:t>
      </w:r>
    </w:p>
    <w:p w:rsidR="009F7F9D" w:rsidRDefault="009F7F9D"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39771A" w:rsidRDefault="0039771A" w:rsidP="009F7F9D"/>
    <w:p w:rsidR="009F7F9D" w:rsidRPr="009F7F9D" w:rsidRDefault="009F7F9D" w:rsidP="001A4DA4">
      <w:pPr>
        <w:rPr>
          <w:rFonts w:ascii="Arial" w:hAnsi="Arial" w:cs="Arial"/>
          <w:color w:val="000000"/>
          <w:sz w:val="23"/>
          <w:szCs w:val="23"/>
        </w:rPr>
      </w:pPr>
      <w:r>
        <w:t xml:space="preserve">4.  </w:t>
      </w:r>
      <w:r w:rsidR="0082373C">
        <w:t>(</w:t>
      </w:r>
      <w:r w:rsidR="00707111">
        <w:t>3</w:t>
      </w:r>
      <w:r w:rsidR="006E299D">
        <w:t>0</w:t>
      </w:r>
      <w:r w:rsidR="0082373C">
        <w:t xml:space="preserve"> min) </w:t>
      </w:r>
      <w:r>
        <w:t xml:space="preserve">Move to your home group.  Summarize your </w:t>
      </w:r>
      <w:r w:rsidR="007D5489">
        <w:t>strategies</w:t>
      </w:r>
      <w:r>
        <w:t xml:space="preserve"> and listen to the </w:t>
      </w:r>
      <w:r w:rsidR="007D5489">
        <w:t>strategies from the other facets</w:t>
      </w:r>
      <w:r>
        <w:t xml:space="preserve">.  </w:t>
      </w:r>
      <w:r w:rsidR="007D5489">
        <w:t xml:space="preserve">If you have time, share your proposed use/adaptation of one of the strategies with your home group (if you run out of time for this, you can get feedback from them during curriculum flex time.)  </w:t>
      </w:r>
      <w:r>
        <w:t xml:space="preserve">Take notes </w:t>
      </w:r>
      <w:r w:rsidR="008E616E">
        <w:t>in the second column of the</w:t>
      </w:r>
      <w:r w:rsidR="00912E26">
        <w:t xml:space="preserve"> Metacognition Organizer</w:t>
      </w:r>
      <w:r>
        <w:t>.</w:t>
      </w:r>
      <w:r w:rsidR="001A4DA4" w:rsidRPr="009F7F9D">
        <w:rPr>
          <w:rFonts w:ascii="Arial" w:hAnsi="Arial" w:cs="Arial"/>
          <w:color w:val="000000"/>
          <w:sz w:val="23"/>
          <w:szCs w:val="23"/>
        </w:rPr>
        <w:t xml:space="preserve"> </w:t>
      </w:r>
    </w:p>
    <w:sectPr w:rsidR="009F7F9D" w:rsidRPr="009F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55E"/>
    <w:multiLevelType w:val="hybridMultilevel"/>
    <w:tmpl w:val="C35898D6"/>
    <w:lvl w:ilvl="0" w:tplc="EA7E80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548A5"/>
    <w:multiLevelType w:val="hybridMultilevel"/>
    <w:tmpl w:val="626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73957"/>
    <w:multiLevelType w:val="multilevel"/>
    <w:tmpl w:val="926CAAA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201A3"/>
    <w:multiLevelType w:val="hybridMultilevel"/>
    <w:tmpl w:val="F82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01606"/>
    <w:multiLevelType w:val="hybridMultilevel"/>
    <w:tmpl w:val="4B9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D1D"/>
    <w:rsid w:val="00010B6B"/>
    <w:rsid w:val="0004646F"/>
    <w:rsid w:val="001A4DA4"/>
    <w:rsid w:val="00290FDF"/>
    <w:rsid w:val="002F791B"/>
    <w:rsid w:val="0039771A"/>
    <w:rsid w:val="005B4D63"/>
    <w:rsid w:val="005E1E07"/>
    <w:rsid w:val="00686D1D"/>
    <w:rsid w:val="006E299D"/>
    <w:rsid w:val="00707111"/>
    <w:rsid w:val="00724DC1"/>
    <w:rsid w:val="007C1D34"/>
    <w:rsid w:val="007D5489"/>
    <w:rsid w:val="0082373C"/>
    <w:rsid w:val="0088121D"/>
    <w:rsid w:val="008D1646"/>
    <w:rsid w:val="008D3950"/>
    <w:rsid w:val="008E616E"/>
    <w:rsid w:val="008F1725"/>
    <w:rsid w:val="00912E26"/>
    <w:rsid w:val="0096247B"/>
    <w:rsid w:val="009F7F9D"/>
    <w:rsid w:val="00A537DB"/>
    <w:rsid w:val="00B11F71"/>
    <w:rsid w:val="00B53B89"/>
    <w:rsid w:val="00C10956"/>
    <w:rsid w:val="00C470A1"/>
    <w:rsid w:val="00DD1AB0"/>
    <w:rsid w:val="00EA1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16D340-2389-4A1A-BEC5-94EE1136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B0"/>
    <w:pPr>
      <w:jc w:val="left"/>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2F791B"/>
    <w:rPr>
      <w:rFonts w:ascii="Times" w:eastAsia="Times" w:hAnsi="Times"/>
      <w:sz w:val="16"/>
      <w:szCs w:val="20"/>
    </w:rPr>
  </w:style>
  <w:style w:type="character" w:customStyle="1" w:styleId="CommentTextChar">
    <w:name w:val="Comment Text Char"/>
    <w:basedOn w:val="DefaultParagraphFont"/>
    <w:link w:val="CommentText"/>
    <w:rsid w:val="002F791B"/>
    <w:rPr>
      <w:rFonts w:ascii="Times" w:eastAsia="Times" w:hAnsi="Times" w:cs="Times New Roman"/>
      <w:sz w:val="16"/>
      <w:szCs w:val="20"/>
    </w:rPr>
  </w:style>
  <w:style w:type="table" w:styleId="TableGrid">
    <w:name w:val="Table Grid"/>
    <w:basedOn w:val="TableNormal"/>
    <w:uiPriority w:val="59"/>
    <w:rsid w:val="005B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7F9D"/>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C470A1"/>
    <w:rPr>
      <w:sz w:val="18"/>
      <w:szCs w:val="18"/>
    </w:rPr>
  </w:style>
  <w:style w:type="paragraph" w:styleId="CommentSubject">
    <w:name w:val="annotation subject"/>
    <w:basedOn w:val="CommentText"/>
    <w:next w:val="CommentText"/>
    <w:link w:val="CommentSubjectChar"/>
    <w:uiPriority w:val="99"/>
    <w:semiHidden/>
    <w:unhideWhenUsed/>
    <w:rsid w:val="00C470A1"/>
    <w:rPr>
      <w:rFonts w:ascii="Calibri" w:eastAsia="Times New Roman" w:hAnsi="Calibri"/>
      <w:b/>
      <w:bCs/>
      <w:sz w:val="20"/>
    </w:rPr>
  </w:style>
  <w:style w:type="character" w:customStyle="1" w:styleId="CommentSubjectChar">
    <w:name w:val="Comment Subject Char"/>
    <w:basedOn w:val="CommentTextChar"/>
    <w:link w:val="CommentSubject"/>
    <w:uiPriority w:val="99"/>
    <w:semiHidden/>
    <w:rsid w:val="00C470A1"/>
    <w:rPr>
      <w:rFonts w:ascii="Calibri" w:eastAsia="Times" w:hAnsi="Calibri" w:cs="Times New Roman"/>
      <w:b/>
      <w:bCs/>
      <w:sz w:val="20"/>
      <w:szCs w:val="20"/>
    </w:rPr>
  </w:style>
  <w:style w:type="paragraph" w:styleId="BalloonText">
    <w:name w:val="Balloon Text"/>
    <w:basedOn w:val="Normal"/>
    <w:link w:val="BalloonTextChar"/>
    <w:uiPriority w:val="99"/>
    <w:semiHidden/>
    <w:unhideWhenUsed/>
    <w:rsid w:val="00C470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0A1"/>
    <w:rPr>
      <w:rFonts w:ascii="Lucida Grande" w:hAnsi="Lucida Grande" w:cs="Lucida Grande"/>
      <w:sz w:val="18"/>
      <w:szCs w:val="18"/>
    </w:rPr>
  </w:style>
  <w:style w:type="paragraph" w:styleId="ListParagraph">
    <w:name w:val="List Paragraph"/>
    <w:basedOn w:val="Normal"/>
    <w:uiPriority w:val="34"/>
    <w:qFormat/>
    <w:rsid w:val="00881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Borda</dc:creator>
  <cp:lastModifiedBy>Microsoft Office User</cp:lastModifiedBy>
  <cp:revision>2</cp:revision>
  <cp:lastPrinted>2015-08-20T15:40:00Z</cp:lastPrinted>
  <dcterms:created xsi:type="dcterms:W3CDTF">2019-03-06T18:29:00Z</dcterms:created>
  <dcterms:modified xsi:type="dcterms:W3CDTF">2019-03-06T18:29:00Z</dcterms:modified>
</cp:coreProperties>
</file>