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2D" w:rsidRPr="00097F2D" w:rsidRDefault="00097F2D" w:rsidP="00097F2D">
      <w:pPr>
        <w:jc w:val="center"/>
        <w:rPr>
          <w:rFonts w:ascii="Times New Roman" w:hAnsi="Times New Roman" w:cs="Times New Roman"/>
          <w:b/>
        </w:rPr>
      </w:pPr>
      <w:r w:rsidRPr="00097F2D">
        <w:rPr>
          <w:rFonts w:ascii="Times New Roman" w:hAnsi="Times New Roman" w:cs="Times New Roman"/>
          <w:b/>
        </w:rPr>
        <w:t>C- CORE</w:t>
      </w:r>
    </w:p>
    <w:p w:rsidR="00097F2D" w:rsidRPr="00097F2D" w:rsidRDefault="00097F2D" w:rsidP="00097F2D">
      <w:pPr>
        <w:jc w:val="center"/>
        <w:rPr>
          <w:rFonts w:ascii="Times New Roman" w:hAnsi="Times New Roman" w:cs="Times New Roman"/>
          <w:b/>
        </w:rPr>
      </w:pPr>
      <w:r w:rsidRPr="00097F2D">
        <w:rPr>
          <w:rFonts w:ascii="Times New Roman" w:hAnsi="Times New Roman" w:cs="Times New Roman"/>
          <w:b/>
        </w:rPr>
        <w:t>Strategy:  Sharing Learning Targets</w:t>
      </w:r>
    </w:p>
    <w:p w:rsidR="00097F2D" w:rsidRPr="00097F2D" w:rsidRDefault="00097F2D" w:rsidP="00097F2D">
      <w:pPr>
        <w:jc w:val="center"/>
        <w:rPr>
          <w:rFonts w:ascii="Times New Roman" w:hAnsi="Times New Roman" w:cs="Times New Roman"/>
        </w:rPr>
      </w:pPr>
      <w:r w:rsidRPr="00097F2D">
        <w:rPr>
          <w:rFonts w:ascii="Times New Roman" w:hAnsi="Times New Roman" w:cs="Times New Roman"/>
          <w:i/>
        </w:rPr>
        <w:t>Clarifying and sharing learning targets and success criteria</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4288"/>
        <w:gridCol w:w="5831"/>
      </w:tblGrid>
      <w:tr w:rsidR="00097F2D" w:rsidRPr="00097F2D" w:rsidTr="00097F2D">
        <w:tc>
          <w:tcPr>
            <w:tcW w:w="3376" w:type="dxa"/>
            <w:shd w:val="clear" w:color="auto" w:fill="auto"/>
          </w:tcPr>
          <w:p w:rsidR="00097F2D" w:rsidRPr="00097F2D" w:rsidRDefault="00097F2D" w:rsidP="00097F2D">
            <w:pPr>
              <w:jc w:val="center"/>
              <w:rPr>
                <w:rFonts w:ascii="Times New Roman" w:hAnsi="Times New Roman" w:cs="Times New Roman"/>
                <w:b/>
              </w:rPr>
            </w:pPr>
            <w:r w:rsidRPr="00097F2D">
              <w:rPr>
                <w:rFonts w:ascii="Times New Roman" w:hAnsi="Times New Roman" w:cs="Times New Roman"/>
                <w:b/>
              </w:rPr>
              <w:t>Technique</w:t>
            </w:r>
          </w:p>
        </w:tc>
        <w:tc>
          <w:tcPr>
            <w:tcW w:w="4288" w:type="dxa"/>
            <w:shd w:val="clear" w:color="auto" w:fill="auto"/>
          </w:tcPr>
          <w:p w:rsidR="00097F2D" w:rsidRPr="00097F2D" w:rsidRDefault="00097F2D" w:rsidP="00097F2D">
            <w:pPr>
              <w:jc w:val="center"/>
              <w:rPr>
                <w:rFonts w:ascii="Times New Roman" w:hAnsi="Times New Roman" w:cs="Times New Roman"/>
                <w:b/>
              </w:rPr>
            </w:pPr>
            <w:r w:rsidRPr="00097F2D">
              <w:rPr>
                <w:rFonts w:ascii="Times New Roman" w:hAnsi="Times New Roman" w:cs="Times New Roman"/>
                <w:b/>
              </w:rPr>
              <w:t>Description</w:t>
            </w:r>
          </w:p>
        </w:tc>
        <w:tc>
          <w:tcPr>
            <w:tcW w:w="5831" w:type="dxa"/>
            <w:shd w:val="clear" w:color="auto" w:fill="auto"/>
          </w:tcPr>
          <w:p w:rsidR="00097F2D" w:rsidRPr="00097F2D" w:rsidRDefault="00097F2D" w:rsidP="00097F2D">
            <w:pPr>
              <w:jc w:val="center"/>
              <w:rPr>
                <w:rFonts w:ascii="Times New Roman" w:hAnsi="Times New Roman" w:cs="Times New Roman"/>
                <w:b/>
              </w:rPr>
            </w:pPr>
            <w:r w:rsidRPr="00097F2D">
              <w:rPr>
                <w:rFonts w:ascii="Times New Roman" w:hAnsi="Times New Roman" w:cs="Times New Roman"/>
                <w:b/>
              </w:rPr>
              <w:t>Implementation Notes</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 xml:space="preserve">Annotated Examples </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 xml:space="preserve">Instructor shares annotated work from another class, previous year, or instructor mock-up.  </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This is especially useful with lab reports and other types of complex student assignments that have multiple sections or multiple characteristics of quality.</w:t>
            </w:r>
          </w:p>
        </w:tc>
      </w:tr>
      <w:tr w:rsidR="00097F2D" w:rsidRPr="00097F2D" w:rsidTr="00097F2D">
        <w:trPr>
          <w:trHeight w:val="1232"/>
        </w:trPr>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End-of-Lesson Student Review</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Individual student reports to other students on learning achieved during class period.</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Dependent on having a classroom culture where the instructor is not seen as “picking on” a particular student, but is an effective and reasonable method to help all students’ thinking go deeper and/or wider.</w:t>
            </w:r>
          </w:p>
        </w:tc>
        <w:bookmarkStart w:id="0" w:name="_GoBack"/>
        <w:bookmarkEnd w:id="0"/>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Groups Discuss Expectations</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Students discuss the learning target and/or success criteria in small groups and then report out to the whole class.</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Often students feel freer to ask questions or to offer answers when they are interacting with their peers.  Also, they tend to understand something better when a peer explains it to them in “student language.”</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Key Word Posters</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puts words or short phrases on the board or chart paper that are key to talking about learning.</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The instructor might place these key words on a chart or electronic bulletin board, or she might take a few minutes to do it as she explains the learning targets for one of the first lessons.  New words or phrases may be added as the quarter continues.</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Learning Targets</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communicates learning targets (learning goals or objectives) for the lesson to students.</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 xml:space="preserve">Learning targets are what the students are expected to learn, </w:t>
            </w:r>
            <w:r w:rsidRPr="00097F2D">
              <w:rPr>
                <w:rFonts w:ascii="Times New Roman" w:hAnsi="Times New Roman" w:cs="Times New Roman"/>
                <w:u w:val="single"/>
              </w:rPr>
              <w:t>not</w:t>
            </w:r>
            <w:r w:rsidRPr="00097F2D">
              <w:rPr>
                <w:rFonts w:ascii="Times New Roman" w:hAnsi="Times New Roman" w:cs="Times New Roman"/>
              </w:rPr>
              <w:t xml:space="preserve"> the learning activities they will participate in during the lesson.</w:t>
            </w:r>
          </w:p>
        </w:tc>
      </w:tr>
      <w:tr w:rsidR="00097F2D" w:rsidRPr="00097F2D" w:rsidTr="00097F2D">
        <w:trPr>
          <w:trHeight w:val="1043"/>
        </w:trPr>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Planning/Writing Frames</w:t>
            </w:r>
          </w:p>
        </w:tc>
        <w:tc>
          <w:tcPr>
            <w:tcW w:w="4288"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provides structured frameworks or outlines for student work, such as writing webs, graphic organizers, or blank outlines.</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Writing webs, graphic organizers, and blank outlines are readily available online for a wide range of assignments in various subjects.</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Rubric Cards</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explains a rubric, its levels, and how it is applied to an assignment.  Students, working in small groups, then evaluate several student work samples, according to the rubric.  Each group has a set of rubric cards, and after a specified period of time, is asked to use them to vote as a group on the score they would assign each sample.</w:t>
            </w:r>
          </w:p>
        </w:tc>
        <w:tc>
          <w:tcPr>
            <w:tcW w:w="5831"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The selected examples should be well-chosen from another class, previous year, or instructor mock-up, and there should be a two-way or small-group discussion of strengths and weaknesses that can be seen in each sample.  Students can come to understand what quality work looks like and how it differs from less accomplished work.  The rubric cards are colored index cards, with each color corresponding to one level of the rubric.</w:t>
            </w:r>
          </w:p>
        </w:tc>
      </w:tr>
    </w:tbl>
    <w:p w:rsidR="00097F2D" w:rsidRDefault="00097F2D" w:rsidP="00097F2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4288"/>
        <w:gridCol w:w="5286"/>
      </w:tblGrid>
      <w:tr w:rsidR="00097F2D" w:rsidRPr="00097F2D" w:rsidTr="00097F2D">
        <w:tc>
          <w:tcPr>
            <w:tcW w:w="3376" w:type="dxa"/>
            <w:shd w:val="clear" w:color="auto" w:fill="auto"/>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b/>
              </w:rPr>
              <w:lastRenderedPageBreak/>
              <w:t>Technique</w:t>
            </w:r>
          </w:p>
        </w:tc>
        <w:tc>
          <w:tcPr>
            <w:tcW w:w="4288"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b/>
              </w:rPr>
              <w:t>Description</w:t>
            </w:r>
          </w:p>
        </w:tc>
        <w:tc>
          <w:tcPr>
            <w:tcW w:w="5286"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b/>
              </w:rPr>
              <w:t>Implementation Notes</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Share Exemplars of Student Work</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uses work from another class, previous year, or instructor mock-up to share with current students.</w:t>
            </w:r>
          </w:p>
        </w:tc>
        <w:tc>
          <w:tcPr>
            <w:tcW w:w="5286"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 xml:space="preserve">The selected examples should be well-chosen from another class, previous year, or instructor mock-up, and there should be a two-way or small-group discussion of strengths and weaknesses that can be seen in each sample.  </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Share Rubrics</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shares success criteria in the form of a rubric with students.</w:t>
            </w:r>
          </w:p>
        </w:tc>
        <w:tc>
          <w:tcPr>
            <w:tcW w:w="5286"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The instructor may choose to use her own rubric, one designed with the help of her students, or one produced by an outside agency.  Multiple rubrics are readily available online for a wide range of assignments in various subjects.  If a generic rubric (one that can be applied to lots of different assignments) is used, the discussion should directly address how the criteria in the rubric relate to the specific assignment it is being used to assess.</w:t>
            </w:r>
          </w:p>
        </w:tc>
      </w:tr>
      <w:tr w:rsidR="00097F2D" w:rsidRPr="00097F2D" w:rsidTr="00097F2D">
        <w:trPr>
          <w:trHeight w:val="1871"/>
        </w:trPr>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Success Criteria</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Instructor shares success criteria that demonstrate evidence of anticipated learning for a specific piece of work.</w:t>
            </w:r>
          </w:p>
        </w:tc>
        <w:tc>
          <w:tcPr>
            <w:tcW w:w="5286"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 xml:space="preserve">The emphasis is on specific forms of </w:t>
            </w:r>
            <w:r w:rsidRPr="00097F2D">
              <w:rPr>
                <w:rFonts w:ascii="Times New Roman" w:hAnsi="Times New Roman" w:cs="Times New Roman"/>
                <w:i/>
              </w:rPr>
              <w:t>evidence</w:t>
            </w:r>
            <w:r w:rsidRPr="00097F2D">
              <w:rPr>
                <w:rFonts w:ascii="Times New Roman" w:hAnsi="Times New Roman" w:cs="Times New Roman"/>
              </w:rPr>
              <w:t xml:space="preserve"> that signal that the student really “gets it.”  In the learning targets technique, the emphasis is more on what the student is </w:t>
            </w:r>
            <w:r w:rsidRPr="00097F2D">
              <w:rPr>
                <w:rFonts w:ascii="Times New Roman" w:hAnsi="Times New Roman" w:cs="Times New Roman"/>
                <w:i/>
              </w:rPr>
              <w:t>expected</w:t>
            </w:r>
            <w:r w:rsidRPr="00097F2D">
              <w:rPr>
                <w:rFonts w:ascii="Times New Roman" w:hAnsi="Times New Roman" w:cs="Times New Roman"/>
              </w:rPr>
              <w:t xml:space="preserve"> to learn or be able to do after the lesson is taught.  The success criteria may be presented in different forms (e.g., rubric, scoring guide).</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Student-Developed Rubrics</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Whole class develops a rubric collaboratively, guided by the instructor.</w:t>
            </w:r>
          </w:p>
        </w:tc>
        <w:tc>
          <w:tcPr>
            <w:tcW w:w="5286"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The rubric should be designed and presented as part of a two-way or small-group discussion of the strengths and weaknesses discussed in the different levels of the rubric.  This way, students can better come to understand what quality work looks like and how it differs from less accomplished work.</w:t>
            </w:r>
          </w:p>
        </w:tc>
      </w:tr>
      <w:tr w:rsidR="00097F2D" w:rsidRPr="00097F2D" w:rsidTr="00097F2D">
        <w:tc>
          <w:tcPr>
            <w:tcW w:w="3376" w:type="dxa"/>
            <w:shd w:val="clear" w:color="auto" w:fill="auto"/>
            <w:vAlign w:val="center"/>
          </w:tcPr>
          <w:p w:rsidR="00097F2D" w:rsidRPr="00097F2D" w:rsidRDefault="00097F2D" w:rsidP="00097F2D">
            <w:pPr>
              <w:jc w:val="center"/>
              <w:rPr>
                <w:rFonts w:ascii="Times New Roman" w:hAnsi="Times New Roman" w:cs="Times New Roman"/>
              </w:rPr>
            </w:pPr>
            <w:r w:rsidRPr="00097F2D">
              <w:rPr>
                <w:rFonts w:ascii="Times New Roman" w:hAnsi="Times New Roman" w:cs="Times New Roman"/>
              </w:rPr>
              <w:t>Thirty-Second Share</w:t>
            </w:r>
          </w:p>
        </w:tc>
        <w:tc>
          <w:tcPr>
            <w:tcW w:w="4288" w:type="dxa"/>
            <w:shd w:val="clear" w:color="auto" w:fill="auto"/>
            <w:vAlign w:val="center"/>
          </w:tcPr>
          <w:p w:rsidR="00097F2D" w:rsidRPr="00097F2D" w:rsidRDefault="00097F2D" w:rsidP="00097F2D">
            <w:pPr>
              <w:rPr>
                <w:rFonts w:ascii="Times New Roman" w:hAnsi="Times New Roman" w:cs="Times New Roman"/>
              </w:rPr>
            </w:pPr>
            <w:r w:rsidRPr="00097F2D">
              <w:rPr>
                <w:rFonts w:ascii="Times New Roman" w:hAnsi="Times New Roman" w:cs="Times New Roman"/>
              </w:rPr>
              <w:t>Several students take a turn to report something learned in the lesson.</w:t>
            </w:r>
          </w:p>
        </w:tc>
        <w:tc>
          <w:tcPr>
            <w:tcW w:w="5286" w:type="dxa"/>
            <w:shd w:val="clear" w:color="auto" w:fill="auto"/>
          </w:tcPr>
          <w:p w:rsidR="00097F2D" w:rsidRPr="00097F2D" w:rsidRDefault="00097F2D" w:rsidP="00097F2D">
            <w:pPr>
              <w:rPr>
                <w:rFonts w:ascii="Times New Roman" w:hAnsi="Times New Roman" w:cs="Times New Roman"/>
              </w:rPr>
            </w:pPr>
            <w:r w:rsidRPr="00097F2D">
              <w:rPr>
                <w:rFonts w:ascii="Times New Roman" w:hAnsi="Times New Roman" w:cs="Times New Roman"/>
              </w:rPr>
              <w:t>Dependent on having a classroom culture where the instructor is not seen as “picking on” a particular student, but is an effective and reasonable method to help all students’ thinking go deeper and/or wider.</w:t>
            </w:r>
          </w:p>
        </w:tc>
      </w:tr>
    </w:tbl>
    <w:p w:rsidR="00097F2D" w:rsidRPr="00097F2D" w:rsidRDefault="00097F2D" w:rsidP="00097F2D">
      <w:pPr>
        <w:rPr>
          <w:rFonts w:ascii="Times New Roman" w:hAnsi="Times New Roman" w:cs="Times New Roman"/>
        </w:rPr>
      </w:pPr>
    </w:p>
    <w:p w:rsidR="00097F2D" w:rsidRPr="00097F2D" w:rsidRDefault="00097F2D" w:rsidP="00097F2D">
      <w:pPr>
        <w:rPr>
          <w:rFonts w:ascii="Times New Roman" w:hAnsi="Times New Roman" w:cs="Times New Roman"/>
        </w:rPr>
      </w:pPr>
    </w:p>
    <w:p w:rsidR="00097F2D" w:rsidRPr="00097F2D" w:rsidRDefault="00097F2D" w:rsidP="00097F2D">
      <w:pPr>
        <w:rPr>
          <w:rFonts w:ascii="Times New Roman" w:hAnsi="Times New Roman" w:cs="Times New Roman"/>
        </w:rPr>
      </w:pPr>
    </w:p>
    <w:p w:rsidR="00097F2D" w:rsidRPr="00097F2D" w:rsidRDefault="00097F2D" w:rsidP="00097F2D">
      <w:pPr>
        <w:rPr>
          <w:rFonts w:ascii="Times New Roman" w:hAnsi="Times New Roman" w:cs="Times New Roman"/>
        </w:rPr>
      </w:pPr>
    </w:p>
    <w:p w:rsidR="00097F2D" w:rsidRPr="00097F2D" w:rsidRDefault="00097F2D" w:rsidP="00097F2D">
      <w:pPr>
        <w:rPr>
          <w:rFonts w:ascii="Times New Roman" w:hAnsi="Times New Roman" w:cs="Times New Roman"/>
        </w:rPr>
      </w:pPr>
    </w:p>
    <w:sectPr w:rsidR="00097F2D" w:rsidRPr="00097F2D" w:rsidSect="00097F2D">
      <w:footerReference w:type="default" r:id="rId6"/>
      <w:pgSz w:w="15840" w:h="12240" w:orient="landscape"/>
      <w:pgMar w:top="720" w:right="7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4B3" w:rsidRDefault="008674B3" w:rsidP="00097F2D">
      <w:r>
        <w:separator/>
      </w:r>
    </w:p>
  </w:endnote>
  <w:endnote w:type="continuationSeparator" w:id="0">
    <w:p w:rsidR="008674B3" w:rsidRDefault="008674B3" w:rsidP="000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2D" w:rsidRPr="00097F2D" w:rsidRDefault="00097F2D" w:rsidP="00097F2D">
    <w:pPr>
      <w:spacing w:line="14" w:lineRule="auto"/>
      <w:jc w:val="right"/>
      <w:rPr>
        <w:rFonts w:ascii="Times New Roman" w:hAnsi="Times New Roman" w:cs="Times New Roman"/>
        <w:sz w:val="20"/>
        <w:szCs w:val="20"/>
      </w:rPr>
    </w:pPr>
  </w:p>
  <w:p w:rsidR="00097F2D" w:rsidRPr="00097F2D" w:rsidRDefault="00097F2D" w:rsidP="00097F2D">
    <w:pPr>
      <w:pStyle w:val="Footer"/>
      <w:jc w:val="right"/>
      <w:rPr>
        <w:rFonts w:ascii="Times New Roman" w:hAnsi="Times New Roman" w:cs="Times New Roman"/>
        <w:sz w:val="20"/>
        <w:szCs w:val="20"/>
      </w:rPr>
    </w:pPr>
    <w:r w:rsidRPr="00097F2D">
      <w:rPr>
        <w:rFonts w:ascii="Times New Roman" w:hAnsi="Times New Roman" w:cs="Times New Roman"/>
        <w:sz w:val="20"/>
        <w:szCs w:val="20"/>
      </w:rPr>
      <w:t xml:space="preserve">Adapted from </w:t>
    </w:r>
    <w:proofErr w:type="spellStart"/>
    <w:r w:rsidRPr="00097F2D">
      <w:rPr>
        <w:rFonts w:ascii="Times New Roman" w:hAnsi="Times New Roman" w:cs="Times New Roman"/>
        <w:sz w:val="20"/>
        <w:szCs w:val="20"/>
      </w:rPr>
      <w:t>Wiliam</w:t>
    </w:r>
    <w:proofErr w:type="spellEnd"/>
    <w:r w:rsidRPr="00097F2D">
      <w:rPr>
        <w:rFonts w:ascii="Times New Roman" w:hAnsi="Times New Roman" w:cs="Times New Roman"/>
        <w:sz w:val="20"/>
        <w:szCs w:val="20"/>
      </w:rPr>
      <w:t xml:space="preserve">, 100 Formative Assessment Techniques and </w:t>
    </w:r>
    <w:proofErr w:type="spellStart"/>
    <w:r w:rsidRPr="00097F2D">
      <w:rPr>
        <w:rFonts w:ascii="Times New Roman" w:hAnsi="Times New Roman" w:cs="Times New Roman"/>
        <w:sz w:val="20"/>
        <w:szCs w:val="20"/>
      </w:rPr>
      <w:t>Handelsman</w:t>
    </w:r>
    <w:proofErr w:type="spellEnd"/>
    <w:r w:rsidRPr="00097F2D">
      <w:rPr>
        <w:rFonts w:ascii="Times New Roman" w:hAnsi="Times New Roman" w:cs="Times New Roman"/>
        <w:sz w:val="20"/>
        <w:szCs w:val="20"/>
      </w:rPr>
      <w:t xml:space="preserve">, et al. </w:t>
    </w:r>
    <w:r w:rsidRPr="00097F2D">
      <w:rPr>
        <w:rFonts w:ascii="Times New Roman" w:hAnsi="Times New Roman" w:cs="Times New Roman"/>
        <w:i/>
        <w:sz w:val="20"/>
        <w:szCs w:val="20"/>
      </w:rPr>
      <w:t xml:space="preserve">Scientific Teaching, </w:t>
    </w:r>
    <w:r w:rsidRPr="00097F2D">
      <w:rPr>
        <w:rFonts w:ascii="Times New Roman" w:hAnsi="Times New Roman" w:cs="Times New Roman"/>
        <w:sz w:val="20"/>
        <w:szCs w:val="20"/>
      </w:rPr>
      <w:t>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4B3" w:rsidRDefault="008674B3" w:rsidP="00097F2D">
      <w:r>
        <w:separator/>
      </w:r>
    </w:p>
  </w:footnote>
  <w:footnote w:type="continuationSeparator" w:id="0">
    <w:p w:rsidR="008674B3" w:rsidRDefault="008674B3" w:rsidP="0009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2D"/>
    <w:rsid w:val="00097F2D"/>
    <w:rsid w:val="000F34B5"/>
    <w:rsid w:val="004E38E7"/>
    <w:rsid w:val="00562E1F"/>
    <w:rsid w:val="0086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235A14-0F1F-F047-A8A0-B9B3C29D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F2D"/>
    <w:pPr>
      <w:tabs>
        <w:tab w:val="center" w:pos="4680"/>
        <w:tab w:val="right" w:pos="9360"/>
      </w:tabs>
    </w:pPr>
  </w:style>
  <w:style w:type="character" w:customStyle="1" w:styleId="HeaderChar">
    <w:name w:val="Header Char"/>
    <w:basedOn w:val="DefaultParagraphFont"/>
    <w:link w:val="Header"/>
    <w:uiPriority w:val="99"/>
    <w:rsid w:val="00097F2D"/>
    <w:rPr>
      <w:rFonts w:eastAsiaTheme="minorEastAsia"/>
    </w:rPr>
  </w:style>
  <w:style w:type="paragraph" w:styleId="Footer">
    <w:name w:val="footer"/>
    <w:basedOn w:val="Normal"/>
    <w:link w:val="FooterChar"/>
    <w:uiPriority w:val="99"/>
    <w:unhideWhenUsed/>
    <w:rsid w:val="00097F2D"/>
    <w:pPr>
      <w:tabs>
        <w:tab w:val="center" w:pos="4680"/>
        <w:tab w:val="right" w:pos="9360"/>
      </w:tabs>
    </w:pPr>
  </w:style>
  <w:style w:type="character" w:customStyle="1" w:styleId="FooterChar">
    <w:name w:val="Footer Char"/>
    <w:basedOn w:val="DefaultParagraphFont"/>
    <w:link w:val="Footer"/>
    <w:uiPriority w:val="99"/>
    <w:rsid w:val="00097F2D"/>
    <w:rPr>
      <w:rFonts w:eastAsiaTheme="minorEastAsia"/>
    </w:rPr>
  </w:style>
  <w:style w:type="paragraph" w:styleId="BodyText">
    <w:name w:val="Body Text"/>
    <w:basedOn w:val="Normal"/>
    <w:link w:val="BodyTextChar"/>
    <w:uiPriority w:val="1"/>
    <w:qFormat/>
    <w:rsid w:val="00097F2D"/>
    <w:pPr>
      <w:widowControl w:val="0"/>
      <w:ind w:left="20"/>
    </w:pPr>
    <w:rPr>
      <w:rFonts w:ascii="Times New Roman" w:eastAsia="Times New Roman" w:hAnsi="Times New Roman"/>
    </w:rPr>
  </w:style>
  <w:style w:type="character" w:customStyle="1" w:styleId="BodyTextChar">
    <w:name w:val="Body Text Char"/>
    <w:basedOn w:val="DefaultParagraphFont"/>
    <w:link w:val="BodyText"/>
    <w:uiPriority w:val="1"/>
    <w:rsid w:val="00097F2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2019-03-08T00:03:00Z</dcterms:created>
  <dcterms:modified xsi:type="dcterms:W3CDTF">2019-03-08T00:03:00Z</dcterms:modified>
</cp:coreProperties>
</file>