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97F04" w14:textId="1AE30179" w:rsidR="00434331" w:rsidRPr="00AD270A" w:rsidRDefault="0024255F" w:rsidP="00285A9B">
      <w:pPr>
        <w:jc w:val="center"/>
        <w:outlineLvl w:val="0"/>
        <w:rPr>
          <w:rFonts w:asciiTheme="majorHAnsi" w:hAnsiTheme="majorHAnsi"/>
          <w:b/>
          <w:sz w:val="28"/>
        </w:rPr>
      </w:pPr>
      <w:bookmarkStart w:id="0" w:name="_GoBack"/>
      <w:bookmarkEnd w:id="0"/>
      <w:r w:rsidRPr="00434331">
        <w:rPr>
          <w:rFonts w:asciiTheme="majorHAnsi" w:hAnsiTheme="majorHAnsi"/>
          <w:b/>
          <w:sz w:val="28"/>
        </w:rPr>
        <w:t>Summary of Selected Social-Psychological Interventions to Improve Student Achievement</w:t>
      </w:r>
    </w:p>
    <w:tbl>
      <w:tblPr>
        <w:tblStyle w:val="TableGrid"/>
        <w:tblW w:w="13446" w:type="dxa"/>
        <w:tblLayout w:type="fixed"/>
        <w:tblLook w:val="04A0" w:firstRow="1" w:lastRow="0" w:firstColumn="1" w:lastColumn="0" w:noHBand="0" w:noVBand="1"/>
      </w:tblPr>
      <w:tblGrid>
        <w:gridCol w:w="1514"/>
        <w:gridCol w:w="1466"/>
        <w:gridCol w:w="2518"/>
        <w:gridCol w:w="3175"/>
        <w:gridCol w:w="3175"/>
        <w:gridCol w:w="1598"/>
      </w:tblGrid>
      <w:tr w:rsidR="0024255F" w:rsidRPr="000F349F" w14:paraId="078F57CC" w14:textId="77777777" w:rsidTr="000F349F">
        <w:tc>
          <w:tcPr>
            <w:tcW w:w="1514" w:type="dxa"/>
          </w:tcPr>
          <w:p w14:paraId="258EBD01" w14:textId="77777777" w:rsidR="0024255F" w:rsidRPr="000F349F" w:rsidRDefault="0024255F" w:rsidP="0024255F">
            <w:pPr>
              <w:jc w:val="center"/>
              <w:rPr>
                <w:rFonts w:asciiTheme="majorHAnsi" w:hAnsiTheme="majorHAnsi"/>
                <w:b/>
              </w:rPr>
            </w:pPr>
            <w:r w:rsidRPr="000F349F">
              <w:rPr>
                <w:rFonts w:asciiTheme="majorHAnsi" w:hAnsiTheme="majorHAnsi"/>
                <w:b/>
              </w:rPr>
              <w:t>Study</w:t>
            </w:r>
          </w:p>
        </w:tc>
        <w:tc>
          <w:tcPr>
            <w:tcW w:w="1466" w:type="dxa"/>
          </w:tcPr>
          <w:p w14:paraId="6FF59F3C" w14:textId="77777777" w:rsidR="0024255F" w:rsidRPr="000F349F" w:rsidRDefault="0024255F" w:rsidP="0024255F">
            <w:pPr>
              <w:jc w:val="center"/>
              <w:rPr>
                <w:rFonts w:asciiTheme="majorHAnsi" w:hAnsiTheme="majorHAnsi"/>
                <w:b/>
              </w:rPr>
            </w:pPr>
            <w:r w:rsidRPr="000F349F">
              <w:rPr>
                <w:rFonts w:asciiTheme="majorHAnsi" w:hAnsiTheme="majorHAnsi"/>
                <w:b/>
              </w:rPr>
              <w:t>Student Sample</w:t>
            </w:r>
          </w:p>
        </w:tc>
        <w:tc>
          <w:tcPr>
            <w:tcW w:w="2518" w:type="dxa"/>
          </w:tcPr>
          <w:p w14:paraId="3CEAB2C3" w14:textId="77777777" w:rsidR="0024255F" w:rsidRPr="000F349F" w:rsidRDefault="0024255F" w:rsidP="0024255F">
            <w:pPr>
              <w:jc w:val="center"/>
              <w:rPr>
                <w:rFonts w:asciiTheme="majorHAnsi" w:hAnsiTheme="majorHAnsi"/>
                <w:b/>
              </w:rPr>
            </w:pPr>
            <w:r w:rsidRPr="000F349F">
              <w:rPr>
                <w:rFonts w:asciiTheme="majorHAnsi" w:hAnsiTheme="majorHAnsi"/>
                <w:b/>
              </w:rPr>
              <w:t>Theoretical Approach</w:t>
            </w:r>
          </w:p>
        </w:tc>
        <w:tc>
          <w:tcPr>
            <w:tcW w:w="3175" w:type="dxa"/>
          </w:tcPr>
          <w:p w14:paraId="12D8C752" w14:textId="77777777" w:rsidR="0024255F" w:rsidRPr="000F349F" w:rsidRDefault="0024255F" w:rsidP="0024255F">
            <w:pPr>
              <w:jc w:val="center"/>
              <w:rPr>
                <w:rFonts w:asciiTheme="majorHAnsi" w:hAnsiTheme="majorHAnsi"/>
                <w:b/>
              </w:rPr>
            </w:pPr>
            <w:r w:rsidRPr="000F349F">
              <w:rPr>
                <w:rFonts w:asciiTheme="majorHAnsi" w:hAnsiTheme="majorHAnsi"/>
                <w:b/>
              </w:rPr>
              <w:t>Summary of Randomized Treatment and Control Groups</w:t>
            </w:r>
          </w:p>
        </w:tc>
        <w:tc>
          <w:tcPr>
            <w:tcW w:w="3175" w:type="dxa"/>
          </w:tcPr>
          <w:p w14:paraId="21635E85" w14:textId="77777777" w:rsidR="0024255F" w:rsidRPr="000F349F" w:rsidRDefault="0024255F" w:rsidP="0024255F">
            <w:pPr>
              <w:jc w:val="center"/>
              <w:rPr>
                <w:rFonts w:asciiTheme="majorHAnsi" w:hAnsiTheme="majorHAnsi"/>
                <w:b/>
              </w:rPr>
            </w:pPr>
            <w:r w:rsidRPr="000F349F">
              <w:rPr>
                <w:rFonts w:asciiTheme="majorHAnsi" w:hAnsiTheme="majorHAnsi"/>
                <w:b/>
              </w:rPr>
              <w:t>Summary of Results</w:t>
            </w:r>
          </w:p>
        </w:tc>
        <w:tc>
          <w:tcPr>
            <w:tcW w:w="1598" w:type="dxa"/>
          </w:tcPr>
          <w:p w14:paraId="7C2DE3F6" w14:textId="77777777" w:rsidR="0024255F" w:rsidRPr="000F349F" w:rsidRDefault="0024255F" w:rsidP="0024255F">
            <w:pPr>
              <w:jc w:val="center"/>
              <w:rPr>
                <w:rFonts w:asciiTheme="majorHAnsi" w:hAnsiTheme="majorHAnsi"/>
                <w:b/>
              </w:rPr>
            </w:pPr>
            <w:r w:rsidRPr="000F349F">
              <w:rPr>
                <w:rFonts w:asciiTheme="majorHAnsi" w:hAnsiTheme="majorHAnsi"/>
                <w:b/>
              </w:rPr>
              <w:t>Effect on Achievement</w:t>
            </w:r>
          </w:p>
        </w:tc>
      </w:tr>
      <w:tr w:rsidR="0024255F" w:rsidRPr="000F349F" w14:paraId="0F95468D" w14:textId="77777777" w:rsidTr="000F349F">
        <w:tc>
          <w:tcPr>
            <w:tcW w:w="13446" w:type="dxa"/>
            <w:gridSpan w:val="6"/>
          </w:tcPr>
          <w:p w14:paraId="2127D14D" w14:textId="77777777" w:rsidR="0024255F" w:rsidRPr="000F349F" w:rsidRDefault="00225EB7" w:rsidP="0024255F">
            <w:pPr>
              <w:rPr>
                <w:rFonts w:asciiTheme="majorHAnsi" w:hAnsiTheme="majorHAnsi"/>
              </w:rPr>
            </w:pPr>
            <w:r>
              <w:rPr>
                <w:rFonts w:asciiTheme="majorHAnsi" w:hAnsiTheme="majorHAnsi"/>
              </w:rPr>
              <w:t>Attributions and implicit theories of intelligence</w:t>
            </w:r>
          </w:p>
        </w:tc>
      </w:tr>
      <w:tr w:rsidR="000F349F" w:rsidRPr="000F349F" w14:paraId="41BC7401" w14:textId="77777777" w:rsidTr="000F349F">
        <w:tc>
          <w:tcPr>
            <w:tcW w:w="1514" w:type="dxa"/>
          </w:tcPr>
          <w:p w14:paraId="6CC03EF3" w14:textId="632D5978" w:rsidR="000F349F" w:rsidRPr="000F349F" w:rsidRDefault="00AD270A" w:rsidP="0024255F">
            <w:pPr>
              <w:rPr>
                <w:rFonts w:asciiTheme="majorHAnsi" w:hAnsiTheme="majorHAnsi"/>
                <w:sz w:val="22"/>
                <w:szCs w:val="22"/>
              </w:rPr>
            </w:pPr>
            <w:r>
              <w:rPr>
                <w:rFonts w:asciiTheme="majorHAnsi" w:hAnsiTheme="majorHAnsi"/>
                <w:sz w:val="22"/>
                <w:szCs w:val="22"/>
              </w:rPr>
              <w:t>Wilson and Linville (1982, 1985)</w:t>
            </w:r>
          </w:p>
        </w:tc>
        <w:tc>
          <w:tcPr>
            <w:tcW w:w="1466" w:type="dxa"/>
          </w:tcPr>
          <w:p w14:paraId="263BE52B" w14:textId="4C49B2F3" w:rsidR="000F349F" w:rsidRPr="000F349F" w:rsidRDefault="00AD270A" w:rsidP="0024255F">
            <w:pPr>
              <w:rPr>
                <w:rFonts w:asciiTheme="majorHAnsi" w:hAnsiTheme="majorHAnsi"/>
                <w:sz w:val="22"/>
                <w:szCs w:val="22"/>
              </w:rPr>
            </w:pPr>
            <w:r>
              <w:rPr>
                <w:rFonts w:asciiTheme="majorHAnsi" w:hAnsiTheme="majorHAnsi"/>
                <w:sz w:val="22"/>
                <w:szCs w:val="22"/>
              </w:rPr>
              <w:t>First-year college students struggling academically</w:t>
            </w:r>
          </w:p>
        </w:tc>
        <w:tc>
          <w:tcPr>
            <w:tcW w:w="2518" w:type="dxa"/>
          </w:tcPr>
          <w:p w14:paraId="62D363E2" w14:textId="67A0AEB7" w:rsidR="000F349F" w:rsidRPr="000F349F" w:rsidRDefault="00AD270A" w:rsidP="0024255F">
            <w:pPr>
              <w:rPr>
                <w:rFonts w:asciiTheme="majorHAnsi" w:hAnsiTheme="majorHAnsi"/>
                <w:sz w:val="22"/>
                <w:szCs w:val="22"/>
              </w:rPr>
            </w:pPr>
            <w:r>
              <w:rPr>
                <w:rFonts w:asciiTheme="majorHAnsi" w:hAnsiTheme="majorHAnsi"/>
                <w:sz w:val="22"/>
                <w:szCs w:val="22"/>
              </w:rPr>
              <w:t xml:space="preserve">Leading students to attribute academic setbacks to unstable factors rather than stable factors can motivate students to work harder and not give up after setbacks in school.  </w:t>
            </w:r>
          </w:p>
        </w:tc>
        <w:tc>
          <w:tcPr>
            <w:tcW w:w="3175" w:type="dxa"/>
          </w:tcPr>
          <w:p w14:paraId="62ABB6F5" w14:textId="2211C6F2" w:rsidR="000F349F" w:rsidRPr="000F349F" w:rsidRDefault="00AD270A" w:rsidP="0024255F">
            <w:pPr>
              <w:rPr>
                <w:rFonts w:asciiTheme="majorHAnsi" w:hAnsiTheme="majorHAnsi"/>
                <w:sz w:val="22"/>
                <w:szCs w:val="22"/>
              </w:rPr>
            </w:pPr>
            <w:r>
              <w:rPr>
                <w:rFonts w:asciiTheme="majorHAnsi" w:hAnsiTheme="majorHAnsi"/>
                <w:sz w:val="22"/>
                <w:szCs w:val="22"/>
              </w:rPr>
              <w:t xml:space="preserve">In one laboratory session, ostensibly as a part of a survey, students watched videos of upper-year students describing how their grades in college were low at first but improved over time.  In a control group, students saw videos of the same upper-year students talking about their social and academic interests. </w:t>
            </w:r>
          </w:p>
        </w:tc>
        <w:tc>
          <w:tcPr>
            <w:tcW w:w="3175" w:type="dxa"/>
          </w:tcPr>
          <w:p w14:paraId="7096B762" w14:textId="337AFDFA" w:rsidR="000F349F" w:rsidRPr="000F349F" w:rsidRDefault="00AD270A" w:rsidP="0024255F">
            <w:pPr>
              <w:rPr>
                <w:rFonts w:asciiTheme="majorHAnsi" w:hAnsiTheme="majorHAnsi"/>
                <w:sz w:val="22"/>
                <w:szCs w:val="22"/>
              </w:rPr>
            </w:pPr>
            <w:r>
              <w:rPr>
                <w:rFonts w:asciiTheme="majorHAnsi" w:hAnsiTheme="majorHAnsi"/>
                <w:sz w:val="22"/>
                <w:szCs w:val="22"/>
              </w:rPr>
              <w:t>One week later, students in the treatment condition performed better on a GRE exam.  A year later, these studen</w:t>
            </w:r>
            <w:r w:rsidR="00285A9B">
              <w:rPr>
                <w:rFonts w:asciiTheme="majorHAnsi" w:hAnsiTheme="majorHAnsi"/>
                <w:sz w:val="22"/>
                <w:szCs w:val="22"/>
              </w:rPr>
              <w:t>ts had earned higher college GPA</w:t>
            </w:r>
            <w:r>
              <w:rPr>
                <w:rFonts w:asciiTheme="majorHAnsi" w:hAnsiTheme="majorHAnsi"/>
                <w:sz w:val="22"/>
                <w:szCs w:val="22"/>
              </w:rPr>
              <w:t>s and were 80% less likely to have dropped out of colle</w:t>
            </w:r>
            <w:r w:rsidR="00285A9B">
              <w:rPr>
                <w:rFonts w:asciiTheme="majorHAnsi" w:hAnsiTheme="majorHAnsi"/>
                <w:sz w:val="22"/>
                <w:szCs w:val="22"/>
              </w:rPr>
              <w:t>ge.  The treatment effect on GPA</w:t>
            </w:r>
            <w:r>
              <w:rPr>
                <w:rFonts w:asciiTheme="majorHAnsi" w:hAnsiTheme="majorHAnsi"/>
                <w:sz w:val="22"/>
                <w:szCs w:val="22"/>
              </w:rPr>
              <w:t xml:space="preserve"> appeared to gain strength over time.</w:t>
            </w:r>
          </w:p>
        </w:tc>
        <w:tc>
          <w:tcPr>
            <w:tcW w:w="1598" w:type="dxa"/>
          </w:tcPr>
          <w:p w14:paraId="61061765" w14:textId="12BD4808" w:rsidR="000F349F" w:rsidRPr="000F349F" w:rsidRDefault="00AD270A" w:rsidP="0024255F">
            <w:pPr>
              <w:rPr>
                <w:rFonts w:asciiTheme="majorHAnsi" w:hAnsiTheme="majorHAnsi"/>
                <w:sz w:val="22"/>
                <w:szCs w:val="22"/>
              </w:rPr>
            </w:pPr>
            <w:r>
              <w:rPr>
                <w:rFonts w:asciiTheme="majorHAnsi" w:hAnsiTheme="majorHAnsi"/>
                <w:sz w:val="22"/>
                <w:szCs w:val="22"/>
              </w:rPr>
              <w:t>.27 grade points one year later</w:t>
            </w:r>
          </w:p>
        </w:tc>
      </w:tr>
      <w:tr w:rsidR="000F349F" w:rsidRPr="000F349F" w14:paraId="2651DD1C" w14:textId="77777777" w:rsidTr="000F349F">
        <w:tc>
          <w:tcPr>
            <w:tcW w:w="13446" w:type="dxa"/>
            <w:gridSpan w:val="6"/>
          </w:tcPr>
          <w:p w14:paraId="75BB1CEE" w14:textId="77777777" w:rsidR="000F349F" w:rsidRPr="000F349F" w:rsidRDefault="000F349F" w:rsidP="0024255F">
            <w:pPr>
              <w:rPr>
                <w:rFonts w:asciiTheme="majorHAnsi" w:hAnsiTheme="majorHAnsi"/>
                <w:sz w:val="22"/>
                <w:szCs w:val="22"/>
              </w:rPr>
            </w:pPr>
            <w:r w:rsidRPr="000F349F">
              <w:rPr>
                <w:rFonts w:asciiTheme="majorHAnsi" w:hAnsiTheme="majorHAnsi"/>
              </w:rPr>
              <w:t>Implicit theories of intelligence and stereotype threat</w:t>
            </w:r>
          </w:p>
        </w:tc>
      </w:tr>
      <w:tr w:rsidR="0024255F" w:rsidRPr="000F349F" w14:paraId="5DCAEAAC" w14:textId="77777777" w:rsidTr="000F349F">
        <w:tc>
          <w:tcPr>
            <w:tcW w:w="1514" w:type="dxa"/>
          </w:tcPr>
          <w:p w14:paraId="2D9C3E62" w14:textId="2D6A87C1" w:rsidR="0024255F" w:rsidRPr="000F349F" w:rsidRDefault="00AD270A" w:rsidP="0024255F">
            <w:pPr>
              <w:rPr>
                <w:rFonts w:asciiTheme="majorHAnsi" w:hAnsiTheme="majorHAnsi"/>
                <w:sz w:val="22"/>
                <w:szCs w:val="22"/>
              </w:rPr>
            </w:pPr>
            <w:r>
              <w:rPr>
                <w:rFonts w:asciiTheme="majorHAnsi" w:hAnsiTheme="majorHAnsi"/>
                <w:sz w:val="22"/>
                <w:szCs w:val="22"/>
              </w:rPr>
              <w:t>J. Aronson, Fried, and Good (2002)</w:t>
            </w:r>
          </w:p>
        </w:tc>
        <w:tc>
          <w:tcPr>
            <w:tcW w:w="1466" w:type="dxa"/>
          </w:tcPr>
          <w:p w14:paraId="5E120CD1" w14:textId="347AC2DA" w:rsidR="0024255F" w:rsidRPr="000F349F" w:rsidRDefault="00AD270A" w:rsidP="0024255F">
            <w:pPr>
              <w:rPr>
                <w:rFonts w:asciiTheme="majorHAnsi" w:hAnsiTheme="majorHAnsi"/>
                <w:sz w:val="22"/>
                <w:szCs w:val="22"/>
              </w:rPr>
            </w:pPr>
            <w:r>
              <w:rPr>
                <w:rFonts w:asciiTheme="majorHAnsi" w:hAnsiTheme="majorHAnsi"/>
                <w:sz w:val="22"/>
                <w:szCs w:val="22"/>
              </w:rPr>
              <w:t>Black and White college students</w:t>
            </w:r>
          </w:p>
        </w:tc>
        <w:tc>
          <w:tcPr>
            <w:tcW w:w="2518" w:type="dxa"/>
          </w:tcPr>
          <w:p w14:paraId="7582983F" w14:textId="08384B72" w:rsidR="0024255F" w:rsidRPr="000F349F" w:rsidRDefault="00AD270A" w:rsidP="0024255F">
            <w:pPr>
              <w:rPr>
                <w:rFonts w:asciiTheme="majorHAnsi" w:hAnsiTheme="majorHAnsi"/>
                <w:sz w:val="22"/>
                <w:szCs w:val="22"/>
              </w:rPr>
            </w:pPr>
            <w:r>
              <w:rPr>
                <w:rFonts w:asciiTheme="majorHAnsi" w:hAnsiTheme="majorHAnsi"/>
                <w:sz w:val="22"/>
                <w:szCs w:val="22"/>
              </w:rPr>
              <w:t xml:space="preserve">Teaching students that people’s core intelligence is malleable will buffer students from the threat of being targeted by negative stereotypes in school.  </w:t>
            </w:r>
          </w:p>
        </w:tc>
        <w:tc>
          <w:tcPr>
            <w:tcW w:w="3175" w:type="dxa"/>
          </w:tcPr>
          <w:p w14:paraId="2E179F6D" w14:textId="7025FEA9" w:rsidR="0024255F" w:rsidRPr="000F349F" w:rsidRDefault="00AD270A" w:rsidP="0024255F">
            <w:pPr>
              <w:rPr>
                <w:rFonts w:asciiTheme="majorHAnsi" w:hAnsiTheme="majorHAnsi"/>
                <w:sz w:val="22"/>
                <w:szCs w:val="22"/>
              </w:rPr>
            </w:pPr>
            <w:r>
              <w:rPr>
                <w:rFonts w:asciiTheme="majorHAnsi" w:hAnsiTheme="majorHAnsi"/>
                <w:sz w:val="22"/>
                <w:szCs w:val="22"/>
              </w:rPr>
              <w:t>In a laboratory session, ostensibly as a part of a “pen pal” program to support younger students, students wrote letters to middle school students endorsing the belief that intelligence is malleable.  In a control group, students wrote “pen pal” letters advocating a theory of multiple intelligences.  A second control group did not write letters.</w:t>
            </w:r>
          </w:p>
        </w:tc>
        <w:tc>
          <w:tcPr>
            <w:tcW w:w="3175" w:type="dxa"/>
          </w:tcPr>
          <w:p w14:paraId="5B4BD9DC" w14:textId="5ACF804B" w:rsidR="0024255F" w:rsidRPr="000F349F" w:rsidRDefault="00AD270A" w:rsidP="0024255F">
            <w:pPr>
              <w:rPr>
                <w:rFonts w:asciiTheme="majorHAnsi" w:hAnsiTheme="majorHAnsi"/>
                <w:sz w:val="22"/>
                <w:szCs w:val="22"/>
              </w:rPr>
            </w:pPr>
            <w:r>
              <w:rPr>
                <w:rFonts w:asciiTheme="majorHAnsi" w:hAnsiTheme="majorHAnsi"/>
                <w:sz w:val="22"/>
                <w:szCs w:val="22"/>
              </w:rPr>
              <w:t xml:space="preserve">At the end of the academic year, both Black and White students’ GPAs rose significantly in the treatment condition as compared to both control groups.  Black students (but not White students) reported increased engagement and identification with school. </w:t>
            </w:r>
          </w:p>
        </w:tc>
        <w:tc>
          <w:tcPr>
            <w:tcW w:w="1598" w:type="dxa"/>
          </w:tcPr>
          <w:p w14:paraId="07F1AEC8" w14:textId="0560D043" w:rsidR="0024255F" w:rsidRPr="000F349F" w:rsidRDefault="00AD270A" w:rsidP="0024255F">
            <w:pPr>
              <w:rPr>
                <w:rFonts w:asciiTheme="majorHAnsi" w:hAnsiTheme="majorHAnsi"/>
                <w:sz w:val="22"/>
                <w:szCs w:val="22"/>
              </w:rPr>
            </w:pPr>
            <w:r>
              <w:rPr>
                <w:rFonts w:asciiTheme="majorHAnsi" w:hAnsiTheme="majorHAnsi"/>
                <w:sz w:val="22"/>
                <w:szCs w:val="22"/>
              </w:rPr>
              <w:t>.23 grade points at the end of the next term.</w:t>
            </w:r>
          </w:p>
        </w:tc>
      </w:tr>
    </w:tbl>
    <w:p w14:paraId="4E84D43F" w14:textId="77777777" w:rsidR="006D04CF" w:rsidRDefault="006D04CF">
      <w:r>
        <w:br w:type="page"/>
      </w:r>
    </w:p>
    <w:tbl>
      <w:tblPr>
        <w:tblStyle w:val="TableGrid"/>
        <w:tblW w:w="13446" w:type="dxa"/>
        <w:tblLayout w:type="fixed"/>
        <w:tblLook w:val="04A0" w:firstRow="1" w:lastRow="0" w:firstColumn="1" w:lastColumn="0" w:noHBand="0" w:noVBand="1"/>
      </w:tblPr>
      <w:tblGrid>
        <w:gridCol w:w="1514"/>
        <w:gridCol w:w="34"/>
        <w:gridCol w:w="1432"/>
        <w:gridCol w:w="8"/>
        <w:gridCol w:w="2510"/>
        <w:gridCol w:w="10"/>
        <w:gridCol w:w="3150"/>
        <w:gridCol w:w="15"/>
        <w:gridCol w:w="3175"/>
        <w:gridCol w:w="50"/>
        <w:gridCol w:w="1548"/>
      </w:tblGrid>
      <w:tr w:rsidR="006D04CF" w:rsidRPr="000F349F" w14:paraId="3433677F" w14:textId="77777777" w:rsidTr="000F349F">
        <w:tc>
          <w:tcPr>
            <w:tcW w:w="1514" w:type="dxa"/>
          </w:tcPr>
          <w:p w14:paraId="032CFEB9" w14:textId="78277C1A" w:rsidR="006D04CF" w:rsidRDefault="006D04CF" w:rsidP="006D04CF">
            <w:pPr>
              <w:jc w:val="center"/>
              <w:rPr>
                <w:rFonts w:asciiTheme="majorHAnsi" w:hAnsiTheme="majorHAnsi"/>
                <w:sz w:val="22"/>
                <w:szCs w:val="22"/>
              </w:rPr>
            </w:pPr>
            <w:r w:rsidRPr="000F349F">
              <w:rPr>
                <w:rFonts w:asciiTheme="majorHAnsi" w:hAnsiTheme="majorHAnsi"/>
                <w:b/>
              </w:rPr>
              <w:lastRenderedPageBreak/>
              <w:t>Study</w:t>
            </w:r>
          </w:p>
        </w:tc>
        <w:tc>
          <w:tcPr>
            <w:tcW w:w="1466" w:type="dxa"/>
            <w:gridSpan w:val="2"/>
          </w:tcPr>
          <w:p w14:paraId="7034B680" w14:textId="1DD0E596" w:rsidR="006D04CF" w:rsidRDefault="006D04CF" w:rsidP="006D04CF">
            <w:pPr>
              <w:jc w:val="center"/>
              <w:rPr>
                <w:rFonts w:asciiTheme="majorHAnsi" w:hAnsiTheme="majorHAnsi"/>
                <w:sz w:val="22"/>
                <w:szCs w:val="22"/>
              </w:rPr>
            </w:pPr>
            <w:r w:rsidRPr="000F349F">
              <w:rPr>
                <w:rFonts w:asciiTheme="majorHAnsi" w:hAnsiTheme="majorHAnsi"/>
                <w:b/>
              </w:rPr>
              <w:t>Student Sample</w:t>
            </w:r>
          </w:p>
        </w:tc>
        <w:tc>
          <w:tcPr>
            <w:tcW w:w="2518" w:type="dxa"/>
            <w:gridSpan w:val="2"/>
          </w:tcPr>
          <w:p w14:paraId="314A4EA7" w14:textId="720473F2" w:rsidR="006D04CF" w:rsidRPr="000F349F" w:rsidRDefault="006D04CF" w:rsidP="006D04CF">
            <w:pPr>
              <w:jc w:val="center"/>
              <w:rPr>
                <w:rFonts w:asciiTheme="majorHAnsi" w:hAnsiTheme="majorHAnsi"/>
                <w:sz w:val="22"/>
                <w:szCs w:val="22"/>
              </w:rPr>
            </w:pPr>
            <w:r w:rsidRPr="000F349F">
              <w:rPr>
                <w:rFonts w:asciiTheme="majorHAnsi" w:hAnsiTheme="majorHAnsi"/>
                <w:b/>
              </w:rPr>
              <w:t>Theoretical Approach</w:t>
            </w:r>
          </w:p>
        </w:tc>
        <w:tc>
          <w:tcPr>
            <w:tcW w:w="3175" w:type="dxa"/>
            <w:gridSpan w:val="3"/>
          </w:tcPr>
          <w:p w14:paraId="0AB83AB5" w14:textId="2FE0FD8E" w:rsidR="006D04CF" w:rsidRPr="000F349F" w:rsidRDefault="006D04CF" w:rsidP="006D04CF">
            <w:pPr>
              <w:jc w:val="center"/>
              <w:rPr>
                <w:rFonts w:asciiTheme="majorHAnsi" w:hAnsiTheme="majorHAnsi"/>
                <w:sz w:val="22"/>
                <w:szCs w:val="22"/>
              </w:rPr>
            </w:pPr>
            <w:r w:rsidRPr="000F349F">
              <w:rPr>
                <w:rFonts w:asciiTheme="majorHAnsi" w:hAnsiTheme="majorHAnsi"/>
                <w:b/>
              </w:rPr>
              <w:t>Summary of Randomized Treatment and Control Groups</w:t>
            </w:r>
          </w:p>
        </w:tc>
        <w:tc>
          <w:tcPr>
            <w:tcW w:w="3175" w:type="dxa"/>
          </w:tcPr>
          <w:p w14:paraId="58B0E3A8" w14:textId="656C0720" w:rsidR="006D04CF" w:rsidRPr="000F349F" w:rsidRDefault="006D04CF" w:rsidP="006D04CF">
            <w:pPr>
              <w:jc w:val="center"/>
              <w:rPr>
                <w:rFonts w:asciiTheme="majorHAnsi" w:hAnsiTheme="majorHAnsi"/>
                <w:sz w:val="22"/>
                <w:szCs w:val="22"/>
              </w:rPr>
            </w:pPr>
            <w:r w:rsidRPr="000F349F">
              <w:rPr>
                <w:rFonts w:asciiTheme="majorHAnsi" w:hAnsiTheme="majorHAnsi"/>
                <w:b/>
              </w:rPr>
              <w:t>Summary of Results</w:t>
            </w:r>
          </w:p>
        </w:tc>
        <w:tc>
          <w:tcPr>
            <w:tcW w:w="1598" w:type="dxa"/>
            <w:gridSpan w:val="2"/>
          </w:tcPr>
          <w:p w14:paraId="151A7CD3" w14:textId="7C5A4EF5" w:rsidR="006D04CF" w:rsidRPr="000F349F" w:rsidRDefault="006D04CF" w:rsidP="006D04CF">
            <w:pPr>
              <w:jc w:val="center"/>
              <w:rPr>
                <w:rFonts w:asciiTheme="majorHAnsi" w:hAnsiTheme="majorHAnsi"/>
                <w:sz w:val="22"/>
                <w:szCs w:val="22"/>
              </w:rPr>
            </w:pPr>
            <w:r w:rsidRPr="000F349F">
              <w:rPr>
                <w:rFonts w:asciiTheme="majorHAnsi" w:hAnsiTheme="majorHAnsi"/>
                <w:b/>
              </w:rPr>
              <w:t>Effect on Achievement</w:t>
            </w:r>
          </w:p>
        </w:tc>
      </w:tr>
      <w:tr w:rsidR="006D04CF" w:rsidRPr="000F349F" w14:paraId="19C6D96B" w14:textId="77777777" w:rsidTr="006D04CF">
        <w:tc>
          <w:tcPr>
            <w:tcW w:w="13446" w:type="dxa"/>
            <w:gridSpan w:val="11"/>
          </w:tcPr>
          <w:p w14:paraId="0940E611" w14:textId="2B34D8B5" w:rsidR="006D04CF" w:rsidRPr="006D04CF" w:rsidRDefault="006D04CF" w:rsidP="006D04CF">
            <w:pPr>
              <w:rPr>
                <w:rFonts w:asciiTheme="majorHAnsi" w:hAnsiTheme="majorHAnsi"/>
              </w:rPr>
            </w:pPr>
            <w:r>
              <w:rPr>
                <w:rFonts w:asciiTheme="majorHAnsi" w:hAnsiTheme="majorHAnsi"/>
              </w:rPr>
              <w:t>Stereotype Threat</w:t>
            </w:r>
          </w:p>
        </w:tc>
      </w:tr>
      <w:tr w:rsidR="006D04CF" w:rsidRPr="000F349F" w14:paraId="2A6BE55A" w14:textId="77777777" w:rsidTr="000F349F">
        <w:tc>
          <w:tcPr>
            <w:tcW w:w="1514" w:type="dxa"/>
          </w:tcPr>
          <w:p w14:paraId="2EA000C3" w14:textId="7C4F1956" w:rsidR="006D04CF" w:rsidRPr="000F349F" w:rsidRDefault="00AD270A" w:rsidP="0024255F">
            <w:pPr>
              <w:rPr>
                <w:rFonts w:asciiTheme="majorHAnsi" w:hAnsiTheme="majorHAnsi"/>
                <w:sz w:val="22"/>
                <w:szCs w:val="22"/>
              </w:rPr>
            </w:pPr>
            <w:r>
              <w:rPr>
                <w:rFonts w:asciiTheme="majorHAnsi" w:hAnsiTheme="majorHAnsi"/>
                <w:sz w:val="22"/>
                <w:szCs w:val="22"/>
              </w:rPr>
              <w:t>Miyake et al, (2010)</w:t>
            </w:r>
          </w:p>
        </w:tc>
        <w:tc>
          <w:tcPr>
            <w:tcW w:w="1466" w:type="dxa"/>
            <w:gridSpan w:val="2"/>
          </w:tcPr>
          <w:p w14:paraId="4B49FD79" w14:textId="72793724" w:rsidR="006D04CF" w:rsidRPr="006D04CF" w:rsidRDefault="00AD270A" w:rsidP="0024255F">
            <w:pPr>
              <w:rPr>
                <w:rFonts w:asciiTheme="majorHAnsi" w:hAnsiTheme="majorHAnsi"/>
                <w:sz w:val="22"/>
                <w:szCs w:val="22"/>
              </w:rPr>
            </w:pPr>
            <w:r>
              <w:rPr>
                <w:rFonts w:asciiTheme="majorHAnsi" w:hAnsiTheme="majorHAnsi"/>
                <w:sz w:val="22"/>
                <w:szCs w:val="22"/>
              </w:rPr>
              <w:t>Men and women in a college physics class</w:t>
            </w:r>
          </w:p>
        </w:tc>
        <w:tc>
          <w:tcPr>
            <w:tcW w:w="2518" w:type="dxa"/>
            <w:gridSpan w:val="2"/>
          </w:tcPr>
          <w:p w14:paraId="708DF37B" w14:textId="10BA07D5" w:rsidR="006D04CF" w:rsidRPr="000F349F" w:rsidRDefault="00AD270A" w:rsidP="0024255F">
            <w:pPr>
              <w:rPr>
                <w:rFonts w:asciiTheme="majorHAnsi" w:hAnsiTheme="majorHAnsi"/>
                <w:sz w:val="22"/>
                <w:szCs w:val="22"/>
              </w:rPr>
            </w:pPr>
            <w:r>
              <w:rPr>
                <w:rFonts w:asciiTheme="majorHAnsi" w:hAnsiTheme="majorHAnsi"/>
                <w:sz w:val="22"/>
                <w:szCs w:val="22"/>
              </w:rPr>
              <w:t>Affirming important values can buffer people from the effects of stereotype threat</w:t>
            </w:r>
          </w:p>
        </w:tc>
        <w:tc>
          <w:tcPr>
            <w:tcW w:w="3175" w:type="dxa"/>
            <w:gridSpan w:val="3"/>
          </w:tcPr>
          <w:p w14:paraId="116D51C0" w14:textId="77777777" w:rsidR="006D04CF" w:rsidRDefault="006D04CF" w:rsidP="0024255F">
            <w:pPr>
              <w:rPr>
                <w:rFonts w:asciiTheme="majorHAnsi" w:hAnsiTheme="majorHAnsi"/>
                <w:sz w:val="22"/>
                <w:szCs w:val="22"/>
              </w:rPr>
            </w:pPr>
            <w:r>
              <w:rPr>
                <w:rFonts w:asciiTheme="majorHAnsi" w:hAnsiTheme="majorHAnsi"/>
                <w:sz w:val="22"/>
                <w:szCs w:val="22"/>
              </w:rPr>
              <w:t>In one or several 15- to- 20- minute classroom sessions beginning at the beginning of the school year, students wrote about values that were personally important to them as an in-class writing exercise.   In a control group, students wrote about values that were not important to them but might matter to someone else.</w:t>
            </w:r>
          </w:p>
          <w:p w14:paraId="10C29E70" w14:textId="59DC72F5" w:rsidR="0028369A" w:rsidRPr="000F349F" w:rsidRDefault="0028369A" w:rsidP="0024255F">
            <w:pPr>
              <w:rPr>
                <w:rFonts w:asciiTheme="majorHAnsi" w:hAnsiTheme="majorHAnsi"/>
                <w:sz w:val="22"/>
                <w:szCs w:val="22"/>
              </w:rPr>
            </w:pPr>
          </w:p>
        </w:tc>
        <w:tc>
          <w:tcPr>
            <w:tcW w:w="3175" w:type="dxa"/>
          </w:tcPr>
          <w:p w14:paraId="1544DFC5" w14:textId="0127CA8B" w:rsidR="006D04CF" w:rsidRPr="000F349F" w:rsidRDefault="00E74F82" w:rsidP="00E74F82">
            <w:pPr>
              <w:rPr>
                <w:rFonts w:asciiTheme="majorHAnsi" w:hAnsiTheme="majorHAnsi"/>
                <w:sz w:val="22"/>
                <w:szCs w:val="22"/>
              </w:rPr>
            </w:pPr>
            <w:r>
              <w:rPr>
                <w:rFonts w:asciiTheme="majorHAnsi" w:hAnsiTheme="majorHAnsi"/>
                <w:sz w:val="22"/>
                <w:szCs w:val="22"/>
              </w:rPr>
              <w:t xml:space="preserve">At the end of the </w:t>
            </w:r>
            <w:proofErr w:type="gramStart"/>
            <w:r>
              <w:rPr>
                <w:rFonts w:asciiTheme="majorHAnsi" w:hAnsiTheme="majorHAnsi"/>
                <w:sz w:val="22"/>
                <w:szCs w:val="22"/>
              </w:rPr>
              <w:t>15 week</w:t>
            </w:r>
            <w:proofErr w:type="gramEnd"/>
            <w:r>
              <w:rPr>
                <w:rFonts w:asciiTheme="majorHAnsi" w:hAnsiTheme="majorHAnsi"/>
                <w:sz w:val="22"/>
                <w:szCs w:val="22"/>
              </w:rPr>
              <w:t xml:space="preserve"> course, </w:t>
            </w:r>
            <w:r w:rsidR="006D04CF">
              <w:rPr>
                <w:rFonts w:asciiTheme="majorHAnsi" w:hAnsiTheme="majorHAnsi"/>
                <w:sz w:val="22"/>
                <w:szCs w:val="22"/>
              </w:rPr>
              <w:t xml:space="preserve">the value-affirmation intervention </w:t>
            </w:r>
            <w:r w:rsidR="003A3E2D">
              <w:rPr>
                <w:rFonts w:asciiTheme="majorHAnsi" w:hAnsiTheme="majorHAnsi"/>
                <w:sz w:val="22"/>
                <w:szCs w:val="22"/>
              </w:rPr>
              <w:t>eliminated a substantial gender gap in physics grades and on scores on a nationally normed physics test that was present in the control condition.  The effect was strongest for women who endorsed gender stereotypes.</w:t>
            </w:r>
          </w:p>
        </w:tc>
        <w:tc>
          <w:tcPr>
            <w:tcW w:w="1598" w:type="dxa"/>
            <w:gridSpan w:val="2"/>
          </w:tcPr>
          <w:p w14:paraId="0E493B12" w14:textId="6F564D09" w:rsidR="006D04CF" w:rsidRPr="003A3E2D" w:rsidRDefault="003A3E2D" w:rsidP="0024255F">
            <w:pPr>
              <w:rPr>
                <w:rFonts w:asciiTheme="majorHAnsi" w:hAnsiTheme="majorHAnsi"/>
                <w:sz w:val="22"/>
                <w:szCs w:val="22"/>
              </w:rPr>
            </w:pPr>
            <w:r>
              <w:rPr>
                <w:rFonts w:asciiTheme="majorHAnsi" w:hAnsiTheme="majorHAnsi"/>
                <w:sz w:val="22"/>
                <w:szCs w:val="22"/>
              </w:rPr>
              <w:t xml:space="preserve">.33 grade points among women at the end of the </w:t>
            </w:r>
            <w:proofErr w:type="spellStart"/>
            <w:r>
              <w:rPr>
                <w:rFonts w:asciiTheme="majorHAnsi" w:hAnsiTheme="majorHAnsi"/>
                <w:sz w:val="22"/>
                <w:szCs w:val="22"/>
              </w:rPr>
              <w:t>term</w:t>
            </w:r>
            <w:r>
              <w:rPr>
                <w:rFonts w:asciiTheme="majorHAnsi" w:hAnsiTheme="majorHAnsi"/>
                <w:sz w:val="22"/>
                <w:szCs w:val="22"/>
                <w:vertAlign w:val="superscript"/>
              </w:rPr>
              <w:t>b</w:t>
            </w:r>
            <w:proofErr w:type="spellEnd"/>
          </w:p>
        </w:tc>
      </w:tr>
      <w:tr w:rsidR="003A3E2D" w:rsidRPr="000F349F" w14:paraId="779224B4" w14:textId="77777777" w:rsidTr="000F349F">
        <w:tc>
          <w:tcPr>
            <w:tcW w:w="1514" w:type="dxa"/>
          </w:tcPr>
          <w:p w14:paraId="45E3B23C" w14:textId="3C96F8EA" w:rsidR="003A3E2D" w:rsidRDefault="003A3E2D" w:rsidP="0024255F">
            <w:pPr>
              <w:rPr>
                <w:rFonts w:asciiTheme="majorHAnsi" w:hAnsiTheme="majorHAnsi"/>
                <w:sz w:val="22"/>
                <w:szCs w:val="22"/>
              </w:rPr>
            </w:pPr>
            <w:r>
              <w:rPr>
                <w:rFonts w:asciiTheme="majorHAnsi" w:hAnsiTheme="majorHAnsi"/>
                <w:sz w:val="22"/>
                <w:szCs w:val="22"/>
              </w:rPr>
              <w:t>Walton and Cohen (2007, 2011)</w:t>
            </w:r>
          </w:p>
        </w:tc>
        <w:tc>
          <w:tcPr>
            <w:tcW w:w="1466" w:type="dxa"/>
            <w:gridSpan w:val="2"/>
          </w:tcPr>
          <w:p w14:paraId="4B399006" w14:textId="06D7F5AA" w:rsidR="003A3E2D" w:rsidRDefault="003A3E2D" w:rsidP="0024255F">
            <w:pPr>
              <w:rPr>
                <w:rFonts w:asciiTheme="majorHAnsi" w:hAnsiTheme="majorHAnsi"/>
                <w:sz w:val="22"/>
                <w:szCs w:val="22"/>
              </w:rPr>
            </w:pPr>
            <w:r>
              <w:rPr>
                <w:rFonts w:asciiTheme="majorHAnsi" w:hAnsiTheme="majorHAnsi"/>
                <w:sz w:val="22"/>
                <w:szCs w:val="22"/>
              </w:rPr>
              <w:t>First-year Black and White college students</w:t>
            </w:r>
          </w:p>
        </w:tc>
        <w:tc>
          <w:tcPr>
            <w:tcW w:w="2518" w:type="dxa"/>
            <w:gridSpan w:val="2"/>
          </w:tcPr>
          <w:p w14:paraId="7A57030E" w14:textId="062AFAB0" w:rsidR="003A3E2D" w:rsidRDefault="003A3E2D" w:rsidP="0024255F">
            <w:pPr>
              <w:rPr>
                <w:rFonts w:asciiTheme="majorHAnsi" w:hAnsiTheme="majorHAnsi"/>
                <w:sz w:val="22"/>
                <w:szCs w:val="22"/>
              </w:rPr>
            </w:pPr>
            <w:r>
              <w:rPr>
                <w:rFonts w:asciiTheme="majorHAnsi" w:hAnsiTheme="majorHAnsi"/>
                <w:sz w:val="22"/>
                <w:szCs w:val="22"/>
              </w:rPr>
              <w:t>Leading students to attribute worries about belonging to the difficulty of the transition to college rather than in students’ personal or racial identity can buttress ethnic minority students’ sense of social belonging in school and increase motivation and performance.</w:t>
            </w:r>
          </w:p>
        </w:tc>
        <w:tc>
          <w:tcPr>
            <w:tcW w:w="3175" w:type="dxa"/>
            <w:gridSpan w:val="3"/>
          </w:tcPr>
          <w:p w14:paraId="771D17DC" w14:textId="012E1872" w:rsidR="003A3E2D" w:rsidRDefault="003A3E2D" w:rsidP="0024255F">
            <w:pPr>
              <w:rPr>
                <w:rFonts w:asciiTheme="majorHAnsi" w:hAnsiTheme="majorHAnsi"/>
                <w:sz w:val="22"/>
                <w:szCs w:val="22"/>
              </w:rPr>
            </w:pPr>
            <w:r>
              <w:rPr>
                <w:rFonts w:asciiTheme="majorHAnsi" w:hAnsiTheme="majorHAnsi"/>
                <w:sz w:val="22"/>
                <w:szCs w:val="22"/>
              </w:rPr>
              <w:t xml:space="preserve">In a 1-hour laboratory session, students read the results of a survey indicating that many students feel they do not belong in college at first but that such worries dissipate with time.  Students then wrote an essay and gave a speech ostensibly for the next year’s freshmen about how their worries about belonging had changed over time in college.  In control groups, students were exposed to information irrelevant to </w:t>
            </w:r>
            <w:r>
              <w:rPr>
                <w:rFonts w:asciiTheme="majorHAnsi" w:hAnsiTheme="majorHAnsi"/>
                <w:sz w:val="22"/>
                <w:szCs w:val="22"/>
              </w:rPr>
              <w:lastRenderedPageBreak/>
              <w:t xml:space="preserve">issues of belonging. </w:t>
            </w:r>
          </w:p>
        </w:tc>
        <w:tc>
          <w:tcPr>
            <w:tcW w:w="3175" w:type="dxa"/>
          </w:tcPr>
          <w:p w14:paraId="322942CA" w14:textId="0A9E1B75" w:rsidR="003A3E2D" w:rsidRDefault="003A3E2D" w:rsidP="00E74F82">
            <w:pPr>
              <w:rPr>
                <w:rFonts w:asciiTheme="majorHAnsi" w:hAnsiTheme="majorHAnsi"/>
                <w:sz w:val="22"/>
                <w:szCs w:val="22"/>
              </w:rPr>
            </w:pPr>
            <w:r>
              <w:rPr>
                <w:rFonts w:asciiTheme="majorHAnsi" w:hAnsiTheme="majorHAnsi"/>
                <w:sz w:val="22"/>
                <w:szCs w:val="22"/>
              </w:rPr>
              <w:lastRenderedPageBreak/>
              <w:t>Relative to students in multiple control groups, Black students in the social-belonging treatment condition earned higher GPAs from sophomore through senior year, reducing the racial achievement gap by 52%, were more likely to be in the top 25% of their college class, and 3 years posttreatment reported being happier and healthier.</w:t>
            </w:r>
          </w:p>
        </w:tc>
        <w:tc>
          <w:tcPr>
            <w:tcW w:w="1598" w:type="dxa"/>
            <w:gridSpan w:val="2"/>
          </w:tcPr>
          <w:p w14:paraId="73F42090" w14:textId="597C5247" w:rsidR="003A3E2D" w:rsidRDefault="003A3E2D" w:rsidP="0024255F">
            <w:pPr>
              <w:rPr>
                <w:rFonts w:asciiTheme="majorHAnsi" w:hAnsiTheme="majorHAnsi"/>
                <w:sz w:val="22"/>
                <w:szCs w:val="22"/>
              </w:rPr>
            </w:pPr>
            <w:r>
              <w:rPr>
                <w:rFonts w:asciiTheme="majorHAnsi" w:hAnsiTheme="majorHAnsi"/>
                <w:sz w:val="22"/>
                <w:szCs w:val="22"/>
              </w:rPr>
              <w:t xml:space="preserve">.24 grade points among Black students from </w:t>
            </w:r>
            <w:r w:rsidR="0028369A">
              <w:rPr>
                <w:rFonts w:asciiTheme="majorHAnsi" w:hAnsiTheme="majorHAnsi"/>
                <w:sz w:val="22"/>
                <w:szCs w:val="22"/>
              </w:rPr>
              <w:t>sophomore through senior year of college</w:t>
            </w:r>
          </w:p>
        </w:tc>
      </w:tr>
      <w:tr w:rsidR="0028369A" w:rsidRPr="000F349F" w14:paraId="65BD2E2C" w14:textId="77777777" w:rsidTr="0028369A">
        <w:tc>
          <w:tcPr>
            <w:tcW w:w="1548" w:type="dxa"/>
            <w:gridSpan w:val="2"/>
          </w:tcPr>
          <w:p w14:paraId="361D8C78" w14:textId="43C15F8B" w:rsidR="0028369A" w:rsidRDefault="0028369A" w:rsidP="0024255F">
            <w:pPr>
              <w:rPr>
                <w:rFonts w:asciiTheme="majorHAnsi" w:hAnsiTheme="majorHAnsi"/>
                <w:sz w:val="22"/>
                <w:szCs w:val="22"/>
              </w:rPr>
            </w:pPr>
            <w:r w:rsidRPr="000F349F">
              <w:rPr>
                <w:rFonts w:asciiTheme="majorHAnsi" w:hAnsiTheme="majorHAnsi"/>
                <w:b/>
              </w:rPr>
              <w:t>Study</w:t>
            </w:r>
          </w:p>
        </w:tc>
        <w:tc>
          <w:tcPr>
            <w:tcW w:w="1440" w:type="dxa"/>
            <w:gridSpan w:val="2"/>
          </w:tcPr>
          <w:p w14:paraId="26A2A466" w14:textId="6C7B2A84" w:rsidR="0028369A" w:rsidRDefault="0028369A" w:rsidP="0024255F">
            <w:pPr>
              <w:rPr>
                <w:rFonts w:asciiTheme="majorHAnsi" w:hAnsiTheme="majorHAnsi"/>
                <w:sz w:val="22"/>
                <w:szCs w:val="22"/>
              </w:rPr>
            </w:pPr>
            <w:r w:rsidRPr="000F349F">
              <w:rPr>
                <w:rFonts w:asciiTheme="majorHAnsi" w:hAnsiTheme="majorHAnsi"/>
                <w:b/>
              </w:rPr>
              <w:t>Student Sample</w:t>
            </w:r>
          </w:p>
        </w:tc>
        <w:tc>
          <w:tcPr>
            <w:tcW w:w="2520" w:type="dxa"/>
            <w:gridSpan w:val="2"/>
          </w:tcPr>
          <w:p w14:paraId="48899780" w14:textId="4C1AEDAF" w:rsidR="0028369A" w:rsidRDefault="0028369A" w:rsidP="0024255F">
            <w:pPr>
              <w:rPr>
                <w:rFonts w:asciiTheme="majorHAnsi" w:hAnsiTheme="majorHAnsi"/>
                <w:sz w:val="22"/>
                <w:szCs w:val="22"/>
              </w:rPr>
            </w:pPr>
            <w:r w:rsidRPr="000F349F">
              <w:rPr>
                <w:rFonts w:asciiTheme="majorHAnsi" w:hAnsiTheme="majorHAnsi"/>
                <w:b/>
              </w:rPr>
              <w:t>Theoretical Approach</w:t>
            </w:r>
          </w:p>
        </w:tc>
        <w:tc>
          <w:tcPr>
            <w:tcW w:w="3150" w:type="dxa"/>
          </w:tcPr>
          <w:p w14:paraId="6185D70D" w14:textId="401D236C" w:rsidR="0028369A" w:rsidRDefault="0028369A" w:rsidP="0024255F">
            <w:pPr>
              <w:rPr>
                <w:rFonts w:asciiTheme="majorHAnsi" w:hAnsiTheme="majorHAnsi"/>
                <w:sz w:val="22"/>
                <w:szCs w:val="22"/>
              </w:rPr>
            </w:pPr>
            <w:r w:rsidRPr="000F349F">
              <w:rPr>
                <w:rFonts w:asciiTheme="majorHAnsi" w:hAnsiTheme="majorHAnsi"/>
                <w:b/>
              </w:rPr>
              <w:t>Summary of Randomized Treatment and Control Groups</w:t>
            </w:r>
          </w:p>
        </w:tc>
        <w:tc>
          <w:tcPr>
            <w:tcW w:w="3240" w:type="dxa"/>
            <w:gridSpan w:val="3"/>
          </w:tcPr>
          <w:p w14:paraId="6697E77C" w14:textId="38E4BFB3" w:rsidR="0028369A" w:rsidRDefault="0028369A" w:rsidP="0024255F">
            <w:pPr>
              <w:rPr>
                <w:rFonts w:asciiTheme="majorHAnsi" w:hAnsiTheme="majorHAnsi"/>
                <w:sz w:val="22"/>
                <w:szCs w:val="22"/>
              </w:rPr>
            </w:pPr>
            <w:r w:rsidRPr="000F349F">
              <w:rPr>
                <w:rFonts w:asciiTheme="majorHAnsi" w:hAnsiTheme="majorHAnsi"/>
                <w:b/>
              </w:rPr>
              <w:t>Summary of Results</w:t>
            </w:r>
          </w:p>
        </w:tc>
        <w:tc>
          <w:tcPr>
            <w:tcW w:w="1548" w:type="dxa"/>
          </w:tcPr>
          <w:p w14:paraId="0333652D" w14:textId="3A9B0B39" w:rsidR="0028369A" w:rsidRDefault="0028369A" w:rsidP="0024255F">
            <w:pPr>
              <w:rPr>
                <w:rFonts w:asciiTheme="majorHAnsi" w:hAnsiTheme="majorHAnsi"/>
                <w:sz w:val="22"/>
                <w:szCs w:val="22"/>
              </w:rPr>
            </w:pPr>
            <w:r w:rsidRPr="000F349F">
              <w:rPr>
                <w:rFonts w:asciiTheme="majorHAnsi" w:hAnsiTheme="majorHAnsi"/>
                <w:b/>
              </w:rPr>
              <w:t>Effect on Achievement</w:t>
            </w:r>
          </w:p>
        </w:tc>
      </w:tr>
      <w:tr w:rsidR="0028369A" w:rsidRPr="000F349F" w14:paraId="1B248DDD" w14:textId="77777777" w:rsidTr="006D04CF">
        <w:tc>
          <w:tcPr>
            <w:tcW w:w="13446" w:type="dxa"/>
            <w:gridSpan w:val="11"/>
          </w:tcPr>
          <w:p w14:paraId="1830972E" w14:textId="3507B5E8" w:rsidR="0028369A" w:rsidRPr="000F349F" w:rsidRDefault="0028369A" w:rsidP="0024255F">
            <w:pPr>
              <w:rPr>
                <w:rFonts w:asciiTheme="majorHAnsi" w:hAnsiTheme="majorHAnsi"/>
                <w:sz w:val="22"/>
                <w:szCs w:val="22"/>
              </w:rPr>
            </w:pPr>
            <w:r>
              <w:rPr>
                <w:rFonts w:asciiTheme="majorHAnsi" w:hAnsiTheme="majorHAnsi"/>
                <w:sz w:val="22"/>
                <w:szCs w:val="22"/>
              </w:rPr>
              <w:t>Possible selves</w:t>
            </w:r>
          </w:p>
        </w:tc>
      </w:tr>
      <w:tr w:rsidR="0028369A" w:rsidRPr="000F349F" w14:paraId="318D8EAF" w14:textId="77777777" w:rsidTr="000F349F">
        <w:tc>
          <w:tcPr>
            <w:tcW w:w="1514" w:type="dxa"/>
          </w:tcPr>
          <w:p w14:paraId="0367B9B6" w14:textId="03DA52C3" w:rsidR="0028369A" w:rsidRPr="000F349F" w:rsidRDefault="0028369A" w:rsidP="0024255F">
            <w:pPr>
              <w:rPr>
                <w:rFonts w:asciiTheme="majorHAnsi" w:hAnsiTheme="majorHAnsi"/>
                <w:sz w:val="22"/>
                <w:szCs w:val="22"/>
              </w:rPr>
            </w:pPr>
            <w:proofErr w:type="spellStart"/>
            <w:r>
              <w:rPr>
                <w:rFonts w:asciiTheme="majorHAnsi" w:hAnsiTheme="majorHAnsi"/>
                <w:sz w:val="22"/>
                <w:szCs w:val="22"/>
              </w:rPr>
              <w:t>Oyserman</w:t>
            </w:r>
            <w:proofErr w:type="spellEnd"/>
            <w:r>
              <w:rPr>
                <w:rFonts w:asciiTheme="majorHAnsi" w:hAnsiTheme="majorHAnsi"/>
                <w:sz w:val="22"/>
                <w:szCs w:val="22"/>
              </w:rPr>
              <w:t>, Bybee, and Terry (2006)</w:t>
            </w:r>
          </w:p>
        </w:tc>
        <w:tc>
          <w:tcPr>
            <w:tcW w:w="1466" w:type="dxa"/>
            <w:gridSpan w:val="2"/>
          </w:tcPr>
          <w:p w14:paraId="3D4C376F" w14:textId="1441DF42" w:rsidR="0028369A" w:rsidRPr="006D04CF" w:rsidRDefault="0028369A" w:rsidP="0024255F">
            <w:pPr>
              <w:rPr>
                <w:rFonts w:asciiTheme="majorHAnsi" w:hAnsiTheme="majorHAnsi"/>
                <w:sz w:val="22"/>
                <w:szCs w:val="22"/>
              </w:rPr>
            </w:pPr>
            <w:r>
              <w:rPr>
                <w:rFonts w:asciiTheme="majorHAnsi" w:hAnsiTheme="majorHAnsi"/>
                <w:sz w:val="22"/>
                <w:szCs w:val="22"/>
              </w:rPr>
              <w:t>Low-income Black and Hispanic or Latino 8</w:t>
            </w:r>
            <w:r w:rsidRPr="006D04CF">
              <w:rPr>
                <w:rFonts w:asciiTheme="majorHAnsi" w:hAnsiTheme="majorHAnsi"/>
                <w:sz w:val="22"/>
                <w:szCs w:val="22"/>
                <w:vertAlign w:val="superscript"/>
              </w:rPr>
              <w:t>th</w:t>
            </w:r>
            <w:r>
              <w:rPr>
                <w:rFonts w:asciiTheme="majorHAnsi" w:hAnsiTheme="majorHAnsi"/>
                <w:sz w:val="22"/>
                <w:szCs w:val="22"/>
              </w:rPr>
              <w:t>-grade students</w:t>
            </w:r>
          </w:p>
        </w:tc>
        <w:tc>
          <w:tcPr>
            <w:tcW w:w="2518" w:type="dxa"/>
            <w:gridSpan w:val="2"/>
          </w:tcPr>
          <w:p w14:paraId="2FF77FA2" w14:textId="442AA8CA" w:rsidR="0028369A" w:rsidRPr="000F349F" w:rsidRDefault="0028369A" w:rsidP="0024255F">
            <w:pPr>
              <w:rPr>
                <w:rFonts w:asciiTheme="majorHAnsi" w:hAnsiTheme="majorHAnsi"/>
                <w:sz w:val="22"/>
                <w:szCs w:val="22"/>
              </w:rPr>
            </w:pPr>
            <w:r>
              <w:rPr>
                <w:rFonts w:asciiTheme="majorHAnsi" w:hAnsiTheme="majorHAnsi"/>
                <w:sz w:val="22"/>
                <w:szCs w:val="22"/>
              </w:rPr>
              <w:t>Leading ethnic minority students to see that their academic future selves are close (and not far), consistent (not inconsistent) with their racial identity, and attainable even when facing challenges will increase students’ motivation.</w:t>
            </w:r>
          </w:p>
        </w:tc>
        <w:tc>
          <w:tcPr>
            <w:tcW w:w="3175" w:type="dxa"/>
            <w:gridSpan w:val="3"/>
          </w:tcPr>
          <w:p w14:paraId="44E82951" w14:textId="465CB828" w:rsidR="0028369A" w:rsidRPr="000F349F" w:rsidRDefault="0028369A" w:rsidP="0024255F">
            <w:pPr>
              <w:rPr>
                <w:rFonts w:asciiTheme="majorHAnsi" w:hAnsiTheme="majorHAnsi"/>
                <w:sz w:val="22"/>
                <w:szCs w:val="22"/>
              </w:rPr>
            </w:pPr>
            <w:r>
              <w:rPr>
                <w:rFonts w:asciiTheme="majorHAnsi" w:hAnsiTheme="majorHAnsi"/>
                <w:sz w:val="22"/>
                <w:szCs w:val="22"/>
              </w:rPr>
              <w:t xml:space="preserve">In 10 workshop sessions, students wrote about how their future selves might be </w:t>
            </w:r>
            <w:r w:rsidR="00285A9B">
              <w:rPr>
                <w:rFonts w:asciiTheme="majorHAnsi" w:hAnsiTheme="majorHAnsi"/>
                <w:sz w:val="22"/>
                <w:szCs w:val="22"/>
              </w:rPr>
              <w:t xml:space="preserve">more </w:t>
            </w:r>
            <w:r>
              <w:rPr>
                <w:rFonts w:asciiTheme="majorHAnsi" w:hAnsiTheme="majorHAnsi"/>
                <w:sz w:val="22"/>
                <w:szCs w:val="22"/>
              </w:rPr>
              <w:t>academically successful, and completed exercises to make those future selves seem more attainable, to make challenges seem normal and expected, and to make academic success not seem like “acting White.”  A control group took standard elective classes.</w:t>
            </w:r>
          </w:p>
        </w:tc>
        <w:tc>
          <w:tcPr>
            <w:tcW w:w="3175" w:type="dxa"/>
          </w:tcPr>
          <w:p w14:paraId="1985DC7F" w14:textId="47232F1B" w:rsidR="0028369A" w:rsidRPr="000F349F" w:rsidRDefault="0028369A" w:rsidP="0024255F">
            <w:pPr>
              <w:rPr>
                <w:rFonts w:asciiTheme="majorHAnsi" w:hAnsiTheme="majorHAnsi"/>
                <w:sz w:val="22"/>
                <w:szCs w:val="22"/>
              </w:rPr>
            </w:pPr>
            <w:r>
              <w:rPr>
                <w:rFonts w:asciiTheme="majorHAnsi" w:hAnsiTheme="majorHAnsi"/>
                <w:sz w:val="22"/>
                <w:szCs w:val="22"/>
              </w:rPr>
              <w:t>Two years later, students in the treatment group had higher GPAs, fewer absences, fewer nominations for disruptive behavior, and fewer depressive symptoms and were 60% less likely to repeat 8</w:t>
            </w:r>
            <w:r w:rsidRPr="00993989">
              <w:rPr>
                <w:rFonts w:asciiTheme="majorHAnsi" w:hAnsiTheme="majorHAnsi"/>
                <w:sz w:val="22"/>
                <w:szCs w:val="22"/>
                <w:vertAlign w:val="superscript"/>
              </w:rPr>
              <w:t>th</w:t>
            </w:r>
            <w:r>
              <w:rPr>
                <w:rFonts w:asciiTheme="majorHAnsi" w:hAnsiTheme="majorHAnsi"/>
                <w:sz w:val="22"/>
                <w:szCs w:val="22"/>
              </w:rPr>
              <w:t xml:space="preserve"> grade.</w:t>
            </w:r>
          </w:p>
        </w:tc>
        <w:tc>
          <w:tcPr>
            <w:tcW w:w="1598" w:type="dxa"/>
            <w:gridSpan w:val="2"/>
          </w:tcPr>
          <w:p w14:paraId="3F68C655" w14:textId="2BD2F9EC" w:rsidR="0028369A" w:rsidRPr="000F349F" w:rsidRDefault="0028369A" w:rsidP="0024255F">
            <w:pPr>
              <w:rPr>
                <w:rFonts w:asciiTheme="majorHAnsi" w:hAnsiTheme="majorHAnsi"/>
                <w:sz w:val="22"/>
                <w:szCs w:val="22"/>
              </w:rPr>
            </w:pPr>
            <w:r>
              <w:rPr>
                <w:rFonts w:asciiTheme="majorHAnsi" w:hAnsiTheme="majorHAnsi"/>
                <w:sz w:val="22"/>
                <w:szCs w:val="22"/>
              </w:rPr>
              <w:t>.28 grade points two years later.</w:t>
            </w:r>
          </w:p>
        </w:tc>
      </w:tr>
      <w:tr w:rsidR="0028369A" w:rsidRPr="000F349F" w14:paraId="1941B546" w14:textId="77777777" w:rsidTr="00177C19">
        <w:tc>
          <w:tcPr>
            <w:tcW w:w="13446" w:type="dxa"/>
            <w:gridSpan w:val="11"/>
          </w:tcPr>
          <w:p w14:paraId="4EF7F368" w14:textId="1CB07955" w:rsidR="0028369A" w:rsidRDefault="0028369A" w:rsidP="0024255F">
            <w:pPr>
              <w:rPr>
                <w:rFonts w:asciiTheme="majorHAnsi" w:hAnsiTheme="majorHAnsi"/>
                <w:sz w:val="22"/>
                <w:szCs w:val="22"/>
              </w:rPr>
            </w:pPr>
            <w:r>
              <w:rPr>
                <w:rFonts w:asciiTheme="majorHAnsi" w:hAnsiTheme="majorHAnsi"/>
                <w:sz w:val="22"/>
                <w:szCs w:val="22"/>
              </w:rPr>
              <w:t>Expectancy-value theory</w:t>
            </w:r>
          </w:p>
        </w:tc>
      </w:tr>
      <w:tr w:rsidR="0028369A" w:rsidRPr="000F349F" w14:paraId="04B196A0" w14:textId="77777777" w:rsidTr="000F349F">
        <w:tc>
          <w:tcPr>
            <w:tcW w:w="1514" w:type="dxa"/>
          </w:tcPr>
          <w:p w14:paraId="331510D6" w14:textId="469474DA" w:rsidR="0028369A" w:rsidRDefault="00785FA4" w:rsidP="0024255F">
            <w:pPr>
              <w:rPr>
                <w:rFonts w:asciiTheme="majorHAnsi" w:hAnsiTheme="majorHAnsi"/>
                <w:sz w:val="22"/>
                <w:szCs w:val="22"/>
              </w:rPr>
            </w:pPr>
            <w:proofErr w:type="spellStart"/>
            <w:r>
              <w:rPr>
                <w:rFonts w:asciiTheme="majorHAnsi" w:hAnsiTheme="majorHAnsi"/>
                <w:sz w:val="22"/>
                <w:szCs w:val="22"/>
              </w:rPr>
              <w:t>Hulleman</w:t>
            </w:r>
            <w:proofErr w:type="spellEnd"/>
            <w:r>
              <w:rPr>
                <w:rFonts w:asciiTheme="majorHAnsi" w:hAnsiTheme="majorHAnsi"/>
                <w:sz w:val="22"/>
                <w:szCs w:val="22"/>
              </w:rPr>
              <w:t xml:space="preserve"> and </w:t>
            </w:r>
            <w:proofErr w:type="spellStart"/>
            <w:r>
              <w:rPr>
                <w:rFonts w:asciiTheme="majorHAnsi" w:hAnsiTheme="majorHAnsi"/>
                <w:sz w:val="22"/>
                <w:szCs w:val="22"/>
              </w:rPr>
              <w:t>Harackiewicz</w:t>
            </w:r>
            <w:proofErr w:type="spellEnd"/>
            <w:r>
              <w:rPr>
                <w:rFonts w:asciiTheme="majorHAnsi" w:hAnsiTheme="majorHAnsi"/>
                <w:sz w:val="22"/>
                <w:szCs w:val="22"/>
              </w:rPr>
              <w:t xml:space="preserve"> (2009</w:t>
            </w:r>
            <w:r w:rsidR="0028369A">
              <w:rPr>
                <w:rFonts w:asciiTheme="majorHAnsi" w:hAnsiTheme="majorHAnsi"/>
                <w:sz w:val="22"/>
                <w:szCs w:val="22"/>
              </w:rPr>
              <w:t>)</w:t>
            </w:r>
          </w:p>
        </w:tc>
        <w:tc>
          <w:tcPr>
            <w:tcW w:w="1466" w:type="dxa"/>
            <w:gridSpan w:val="2"/>
          </w:tcPr>
          <w:p w14:paraId="4A339E36" w14:textId="1EA16794" w:rsidR="0028369A" w:rsidRDefault="0028369A" w:rsidP="0024255F">
            <w:pPr>
              <w:rPr>
                <w:rFonts w:asciiTheme="majorHAnsi" w:hAnsiTheme="majorHAnsi"/>
                <w:sz w:val="22"/>
                <w:szCs w:val="22"/>
              </w:rPr>
            </w:pPr>
            <w:r>
              <w:rPr>
                <w:rFonts w:asciiTheme="majorHAnsi" w:hAnsiTheme="majorHAnsi"/>
                <w:sz w:val="22"/>
                <w:szCs w:val="22"/>
              </w:rPr>
              <w:t>Middle-income, ethnically diverse 9</w:t>
            </w:r>
            <w:r w:rsidRPr="0028369A">
              <w:rPr>
                <w:rFonts w:asciiTheme="majorHAnsi" w:hAnsiTheme="majorHAnsi"/>
                <w:sz w:val="22"/>
                <w:szCs w:val="22"/>
                <w:vertAlign w:val="superscript"/>
              </w:rPr>
              <w:t>th</w:t>
            </w:r>
            <w:r>
              <w:rPr>
                <w:rFonts w:asciiTheme="majorHAnsi" w:hAnsiTheme="majorHAnsi"/>
                <w:sz w:val="22"/>
                <w:szCs w:val="22"/>
              </w:rPr>
              <w:t xml:space="preserve"> grade students</w:t>
            </w:r>
          </w:p>
        </w:tc>
        <w:tc>
          <w:tcPr>
            <w:tcW w:w="2518" w:type="dxa"/>
            <w:gridSpan w:val="2"/>
          </w:tcPr>
          <w:p w14:paraId="3949477F" w14:textId="35ACF883" w:rsidR="0028369A" w:rsidRDefault="0028369A" w:rsidP="0024255F">
            <w:pPr>
              <w:rPr>
                <w:rFonts w:asciiTheme="majorHAnsi" w:hAnsiTheme="majorHAnsi"/>
                <w:sz w:val="22"/>
                <w:szCs w:val="22"/>
              </w:rPr>
            </w:pPr>
            <w:r>
              <w:rPr>
                <w:rFonts w:asciiTheme="majorHAnsi" w:hAnsiTheme="majorHAnsi"/>
                <w:sz w:val="22"/>
                <w:szCs w:val="22"/>
              </w:rPr>
              <w:t>Making science classes personally relevant will increase interest in science, engagement with the learning process, and improved performance especially among students who do not expect to succeed in science.</w:t>
            </w:r>
          </w:p>
        </w:tc>
        <w:tc>
          <w:tcPr>
            <w:tcW w:w="3175" w:type="dxa"/>
            <w:gridSpan w:val="3"/>
          </w:tcPr>
          <w:p w14:paraId="4B48B0B9" w14:textId="5BBDA50A" w:rsidR="0028369A" w:rsidRDefault="0028369A" w:rsidP="0024255F">
            <w:pPr>
              <w:rPr>
                <w:rFonts w:asciiTheme="majorHAnsi" w:hAnsiTheme="majorHAnsi"/>
                <w:sz w:val="22"/>
                <w:szCs w:val="22"/>
              </w:rPr>
            </w:pPr>
            <w:r>
              <w:rPr>
                <w:rFonts w:asciiTheme="majorHAnsi" w:hAnsiTheme="majorHAnsi"/>
                <w:sz w:val="22"/>
                <w:szCs w:val="22"/>
              </w:rPr>
              <w:t>Every 3 or 4 weeks starting at the beginning of the semester, students wrote a brief essay describing how the material studied in their high school science class that week could be applied in their lives.  Control students summarized the week’s science class topic.</w:t>
            </w:r>
          </w:p>
        </w:tc>
        <w:tc>
          <w:tcPr>
            <w:tcW w:w="3175" w:type="dxa"/>
          </w:tcPr>
          <w:p w14:paraId="3EB07E07" w14:textId="1B5BA0F2" w:rsidR="0028369A" w:rsidRDefault="0028369A" w:rsidP="0024255F">
            <w:pPr>
              <w:rPr>
                <w:rFonts w:asciiTheme="majorHAnsi" w:hAnsiTheme="majorHAnsi"/>
                <w:sz w:val="22"/>
                <w:szCs w:val="22"/>
              </w:rPr>
            </w:pPr>
            <w:r>
              <w:rPr>
                <w:rFonts w:asciiTheme="majorHAnsi" w:hAnsiTheme="majorHAnsi"/>
                <w:sz w:val="22"/>
                <w:szCs w:val="22"/>
              </w:rPr>
              <w:t>At the end of the semester treated students who expected to perform poorly in science had earned higher science grades; no effects were found among students with high expectations for success in science.</w:t>
            </w:r>
          </w:p>
        </w:tc>
        <w:tc>
          <w:tcPr>
            <w:tcW w:w="1598" w:type="dxa"/>
            <w:gridSpan w:val="2"/>
          </w:tcPr>
          <w:p w14:paraId="13DF9DB3" w14:textId="253A1C0A" w:rsidR="0028369A" w:rsidRDefault="0028369A" w:rsidP="0024255F">
            <w:pPr>
              <w:rPr>
                <w:rFonts w:asciiTheme="majorHAnsi" w:hAnsiTheme="majorHAnsi"/>
                <w:sz w:val="22"/>
                <w:szCs w:val="22"/>
              </w:rPr>
            </w:pPr>
            <w:r>
              <w:rPr>
                <w:rFonts w:asciiTheme="majorHAnsi" w:hAnsiTheme="majorHAnsi"/>
                <w:sz w:val="22"/>
                <w:szCs w:val="22"/>
              </w:rPr>
              <w:t>.80 grade points among students with low expectations for success in science at the end of the semester.</w:t>
            </w:r>
          </w:p>
        </w:tc>
      </w:tr>
    </w:tbl>
    <w:p w14:paraId="64631C11" w14:textId="3D2BFE85" w:rsidR="0024255F" w:rsidRDefault="0024255F" w:rsidP="0028369A"/>
    <w:p w14:paraId="732A870A" w14:textId="77777777" w:rsidR="00785FA4" w:rsidRDefault="00785FA4" w:rsidP="0028369A"/>
    <w:p w14:paraId="418B91F4" w14:textId="77777777" w:rsidR="00785FA4" w:rsidRDefault="00785FA4" w:rsidP="0028369A"/>
    <w:p w14:paraId="226B1948" w14:textId="77777777" w:rsidR="00785FA4" w:rsidRDefault="00785FA4" w:rsidP="0028369A"/>
    <w:p w14:paraId="01B59841" w14:textId="1A254DE0" w:rsidR="00785FA4" w:rsidRDefault="00785FA4" w:rsidP="00785FA4">
      <w:pPr>
        <w:jc w:val="center"/>
        <w:rPr>
          <w:b/>
        </w:rPr>
      </w:pPr>
      <w:r>
        <w:rPr>
          <w:b/>
        </w:rPr>
        <w:t>References</w:t>
      </w:r>
    </w:p>
    <w:p w14:paraId="2F4CEC12" w14:textId="18F3AB9C" w:rsidR="00785FA4" w:rsidRDefault="00785FA4" w:rsidP="00785FA4">
      <w:pPr>
        <w:rPr>
          <w:rFonts w:asciiTheme="majorHAnsi" w:hAnsiTheme="majorHAnsi"/>
          <w:sz w:val="22"/>
          <w:szCs w:val="22"/>
        </w:rPr>
      </w:pPr>
      <w:r>
        <w:rPr>
          <w:rFonts w:asciiTheme="majorHAnsi" w:hAnsiTheme="majorHAnsi"/>
          <w:sz w:val="22"/>
          <w:szCs w:val="22"/>
        </w:rPr>
        <w:t xml:space="preserve">Aronson, J., Fried, C., and Good, C. (2002) Reducing the effects of stereotype threat on African American college students by shaping theories of intelligence.  </w:t>
      </w:r>
      <w:r>
        <w:rPr>
          <w:rFonts w:asciiTheme="majorHAnsi" w:hAnsiTheme="majorHAnsi"/>
          <w:i/>
          <w:sz w:val="22"/>
          <w:szCs w:val="22"/>
        </w:rPr>
        <w:t xml:space="preserve">Journal of Experimental Social Psychology, 38, </w:t>
      </w:r>
      <w:r>
        <w:rPr>
          <w:rFonts w:asciiTheme="majorHAnsi" w:hAnsiTheme="majorHAnsi"/>
          <w:sz w:val="22"/>
          <w:szCs w:val="22"/>
        </w:rPr>
        <w:t>113-125.</w:t>
      </w:r>
    </w:p>
    <w:p w14:paraId="6205F0CC" w14:textId="77777777" w:rsidR="00785FA4" w:rsidRPr="00785FA4" w:rsidRDefault="00785FA4" w:rsidP="00785FA4">
      <w:pPr>
        <w:rPr>
          <w:rFonts w:asciiTheme="majorHAnsi" w:hAnsiTheme="majorHAnsi"/>
          <w:sz w:val="22"/>
          <w:szCs w:val="22"/>
        </w:rPr>
      </w:pPr>
    </w:p>
    <w:p w14:paraId="277473E7" w14:textId="33277BFF" w:rsidR="00785FA4" w:rsidRDefault="00785FA4" w:rsidP="00785FA4">
      <w:pPr>
        <w:rPr>
          <w:rFonts w:asciiTheme="majorHAnsi" w:hAnsiTheme="majorHAnsi"/>
          <w:sz w:val="22"/>
          <w:szCs w:val="22"/>
        </w:rPr>
      </w:pPr>
      <w:proofErr w:type="spellStart"/>
      <w:r>
        <w:rPr>
          <w:rFonts w:asciiTheme="majorHAnsi" w:hAnsiTheme="majorHAnsi"/>
          <w:sz w:val="22"/>
          <w:szCs w:val="22"/>
        </w:rPr>
        <w:t>Hulleman</w:t>
      </w:r>
      <w:proofErr w:type="spellEnd"/>
      <w:r>
        <w:rPr>
          <w:rFonts w:asciiTheme="majorHAnsi" w:hAnsiTheme="majorHAnsi"/>
          <w:sz w:val="22"/>
          <w:szCs w:val="22"/>
        </w:rPr>
        <w:t xml:space="preserve"> C.S., &amp; </w:t>
      </w:r>
      <w:proofErr w:type="spellStart"/>
      <w:r>
        <w:rPr>
          <w:rFonts w:asciiTheme="majorHAnsi" w:hAnsiTheme="majorHAnsi"/>
          <w:sz w:val="22"/>
          <w:szCs w:val="22"/>
        </w:rPr>
        <w:t>Harackiewicz</w:t>
      </w:r>
      <w:proofErr w:type="spellEnd"/>
      <w:r>
        <w:rPr>
          <w:rFonts w:asciiTheme="majorHAnsi" w:hAnsiTheme="majorHAnsi"/>
          <w:sz w:val="22"/>
          <w:szCs w:val="22"/>
        </w:rPr>
        <w:t xml:space="preserve">, J.M., (2009) Making education relevant: Increasing interest and performance in high school science classes.  </w:t>
      </w:r>
      <w:r>
        <w:rPr>
          <w:rFonts w:asciiTheme="majorHAnsi" w:hAnsiTheme="majorHAnsi"/>
          <w:i/>
          <w:sz w:val="22"/>
          <w:szCs w:val="22"/>
        </w:rPr>
        <w:t xml:space="preserve">Science, 326, </w:t>
      </w:r>
      <w:r>
        <w:rPr>
          <w:rFonts w:asciiTheme="majorHAnsi" w:hAnsiTheme="majorHAnsi"/>
          <w:sz w:val="22"/>
          <w:szCs w:val="22"/>
        </w:rPr>
        <w:t>1410-1412.</w:t>
      </w:r>
    </w:p>
    <w:p w14:paraId="3F582245" w14:textId="77777777" w:rsidR="00785FA4" w:rsidRPr="00785FA4" w:rsidRDefault="00785FA4" w:rsidP="00785FA4">
      <w:pPr>
        <w:rPr>
          <w:rFonts w:asciiTheme="majorHAnsi" w:hAnsiTheme="majorHAnsi"/>
          <w:sz w:val="22"/>
          <w:szCs w:val="22"/>
        </w:rPr>
      </w:pPr>
    </w:p>
    <w:p w14:paraId="4D74A74C" w14:textId="28F2BA2B" w:rsidR="00785FA4" w:rsidRDefault="00785FA4" w:rsidP="00785FA4">
      <w:pPr>
        <w:rPr>
          <w:rFonts w:asciiTheme="majorHAnsi" w:hAnsiTheme="majorHAnsi"/>
          <w:sz w:val="22"/>
          <w:szCs w:val="22"/>
        </w:rPr>
      </w:pPr>
      <w:r>
        <w:rPr>
          <w:rFonts w:asciiTheme="majorHAnsi" w:hAnsiTheme="majorHAnsi"/>
          <w:sz w:val="22"/>
          <w:szCs w:val="22"/>
        </w:rPr>
        <w:t xml:space="preserve">Miyake, A., </w:t>
      </w:r>
      <w:proofErr w:type="spellStart"/>
      <w:r>
        <w:rPr>
          <w:rFonts w:asciiTheme="majorHAnsi" w:hAnsiTheme="majorHAnsi"/>
          <w:sz w:val="22"/>
          <w:szCs w:val="22"/>
        </w:rPr>
        <w:t>Kost-Soth</w:t>
      </w:r>
      <w:proofErr w:type="spellEnd"/>
      <w:r>
        <w:rPr>
          <w:rFonts w:asciiTheme="majorHAnsi" w:hAnsiTheme="majorHAnsi"/>
          <w:sz w:val="22"/>
          <w:szCs w:val="22"/>
        </w:rPr>
        <w:t xml:space="preserve">, L. E., Finkelstein, N.D., Pollock, S.J., Cohen, G.I., &amp; Ito, A. (2010). Reducing the gender achievement gap in college science: A classroom student of values affirmation.  </w:t>
      </w:r>
      <w:r>
        <w:rPr>
          <w:rFonts w:asciiTheme="majorHAnsi" w:hAnsiTheme="majorHAnsi"/>
          <w:i/>
          <w:sz w:val="22"/>
          <w:szCs w:val="22"/>
        </w:rPr>
        <w:t xml:space="preserve">Science, 330, </w:t>
      </w:r>
      <w:r>
        <w:rPr>
          <w:rFonts w:asciiTheme="majorHAnsi" w:hAnsiTheme="majorHAnsi"/>
          <w:sz w:val="22"/>
          <w:szCs w:val="22"/>
        </w:rPr>
        <w:t>1234-1237.</w:t>
      </w:r>
    </w:p>
    <w:p w14:paraId="4D2BEB67" w14:textId="77777777" w:rsidR="00785FA4" w:rsidRPr="00785FA4" w:rsidRDefault="00785FA4" w:rsidP="00785FA4">
      <w:pPr>
        <w:rPr>
          <w:rFonts w:asciiTheme="majorHAnsi" w:hAnsiTheme="majorHAnsi"/>
          <w:sz w:val="22"/>
          <w:szCs w:val="22"/>
        </w:rPr>
      </w:pPr>
    </w:p>
    <w:p w14:paraId="492BB380" w14:textId="68C26544" w:rsidR="00785FA4" w:rsidRDefault="00785FA4" w:rsidP="00785FA4">
      <w:pPr>
        <w:rPr>
          <w:rFonts w:asciiTheme="majorHAnsi" w:hAnsiTheme="majorHAnsi"/>
          <w:sz w:val="22"/>
          <w:szCs w:val="22"/>
        </w:rPr>
      </w:pPr>
      <w:proofErr w:type="spellStart"/>
      <w:r>
        <w:rPr>
          <w:rFonts w:asciiTheme="majorHAnsi" w:hAnsiTheme="majorHAnsi"/>
          <w:sz w:val="22"/>
          <w:szCs w:val="22"/>
        </w:rPr>
        <w:t>Oyserman</w:t>
      </w:r>
      <w:proofErr w:type="spellEnd"/>
      <w:r>
        <w:rPr>
          <w:rFonts w:asciiTheme="majorHAnsi" w:hAnsiTheme="majorHAnsi"/>
          <w:sz w:val="22"/>
          <w:szCs w:val="22"/>
        </w:rPr>
        <w:t xml:space="preserve">, D., Bybee, D., &amp; Terry, K. (2006). Possible selves and academic outcomes: How and when </w:t>
      </w:r>
      <w:proofErr w:type="gramStart"/>
      <w:r>
        <w:rPr>
          <w:rFonts w:asciiTheme="majorHAnsi" w:hAnsiTheme="majorHAnsi"/>
          <w:sz w:val="22"/>
          <w:szCs w:val="22"/>
        </w:rPr>
        <w:t>possible</w:t>
      </w:r>
      <w:proofErr w:type="gramEnd"/>
      <w:r>
        <w:rPr>
          <w:rFonts w:asciiTheme="majorHAnsi" w:hAnsiTheme="majorHAnsi"/>
          <w:sz w:val="22"/>
          <w:szCs w:val="22"/>
        </w:rPr>
        <w:t xml:space="preserve"> selves impel action.  </w:t>
      </w:r>
      <w:r>
        <w:rPr>
          <w:rFonts w:asciiTheme="majorHAnsi" w:hAnsiTheme="majorHAnsi"/>
          <w:i/>
          <w:sz w:val="22"/>
          <w:szCs w:val="22"/>
        </w:rPr>
        <w:t>Journal of Personality and Social Psychology, 91</w:t>
      </w:r>
      <w:r>
        <w:rPr>
          <w:rFonts w:asciiTheme="majorHAnsi" w:hAnsiTheme="majorHAnsi"/>
          <w:sz w:val="22"/>
          <w:szCs w:val="22"/>
        </w:rPr>
        <w:t>, 188-204.</w:t>
      </w:r>
    </w:p>
    <w:p w14:paraId="1B2D160C" w14:textId="77777777" w:rsidR="00785FA4" w:rsidRPr="00785FA4" w:rsidRDefault="00785FA4" w:rsidP="00785FA4">
      <w:pPr>
        <w:rPr>
          <w:rFonts w:asciiTheme="majorHAnsi" w:hAnsiTheme="majorHAnsi"/>
          <w:sz w:val="22"/>
          <w:szCs w:val="22"/>
        </w:rPr>
      </w:pPr>
    </w:p>
    <w:p w14:paraId="4F9B4C8A" w14:textId="65D99496" w:rsidR="00785FA4" w:rsidRDefault="00785FA4" w:rsidP="00785FA4">
      <w:pPr>
        <w:rPr>
          <w:rFonts w:asciiTheme="majorHAnsi" w:hAnsiTheme="majorHAnsi"/>
          <w:sz w:val="22"/>
          <w:szCs w:val="22"/>
        </w:rPr>
      </w:pPr>
      <w:r>
        <w:rPr>
          <w:rFonts w:asciiTheme="majorHAnsi" w:hAnsiTheme="majorHAnsi"/>
          <w:sz w:val="22"/>
          <w:szCs w:val="22"/>
        </w:rPr>
        <w:t xml:space="preserve">Walton, G. M., &amp; Cohen, G.L. (2007). A question of belonging: Race, social fit, and achievement.  </w:t>
      </w:r>
      <w:r>
        <w:rPr>
          <w:rFonts w:asciiTheme="majorHAnsi" w:hAnsiTheme="majorHAnsi"/>
          <w:i/>
          <w:sz w:val="22"/>
          <w:szCs w:val="22"/>
        </w:rPr>
        <w:t>Journal of Personality and Social Psychology, 92</w:t>
      </w:r>
      <w:r>
        <w:rPr>
          <w:rFonts w:asciiTheme="majorHAnsi" w:hAnsiTheme="majorHAnsi"/>
          <w:sz w:val="22"/>
          <w:szCs w:val="22"/>
        </w:rPr>
        <w:t>, 82-96.</w:t>
      </w:r>
    </w:p>
    <w:p w14:paraId="1178E443" w14:textId="77777777" w:rsidR="00785FA4" w:rsidRDefault="00785FA4" w:rsidP="00785FA4">
      <w:pPr>
        <w:rPr>
          <w:rFonts w:asciiTheme="majorHAnsi" w:hAnsiTheme="majorHAnsi"/>
          <w:sz w:val="22"/>
          <w:szCs w:val="22"/>
        </w:rPr>
      </w:pPr>
    </w:p>
    <w:p w14:paraId="67263750" w14:textId="20E7BF09" w:rsidR="00785FA4" w:rsidRDefault="00785FA4" w:rsidP="00785FA4">
      <w:pPr>
        <w:rPr>
          <w:rFonts w:asciiTheme="majorHAnsi" w:hAnsiTheme="majorHAnsi"/>
          <w:sz w:val="22"/>
          <w:szCs w:val="22"/>
        </w:rPr>
      </w:pPr>
      <w:r>
        <w:rPr>
          <w:rFonts w:asciiTheme="majorHAnsi" w:hAnsiTheme="majorHAnsi"/>
          <w:sz w:val="22"/>
          <w:szCs w:val="22"/>
        </w:rPr>
        <w:t xml:space="preserve">Walton, G.M., &amp; Cohen, G. L. (2011). A brief social-belonging intervention improves academic and health outcomes among minority students.  </w:t>
      </w:r>
      <w:r>
        <w:rPr>
          <w:rFonts w:asciiTheme="majorHAnsi" w:hAnsiTheme="majorHAnsi"/>
          <w:i/>
          <w:sz w:val="22"/>
          <w:szCs w:val="22"/>
        </w:rPr>
        <w:t>Science, 331</w:t>
      </w:r>
      <w:r>
        <w:rPr>
          <w:rFonts w:asciiTheme="majorHAnsi" w:hAnsiTheme="majorHAnsi"/>
          <w:sz w:val="22"/>
          <w:szCs w:val="22"/>
        </w:rPr>
        <w:t>, 1447-1451.</w:t>
      </w:r>
    </w:p>
    <w:p w14:paraId="74F61DF2" w14:textId="77777777" w:rsidR="00785FA4" w:rsidRPr="00785FA4" w:rsidRDefault="00785FA4" w:rsidP="00785FA4">
      <w:pPr>
        <w:rPr>
          <w:rFonts w:asciiTheme="majorHAnsi" w:hAnsiTheme="majorHAnsi"/>
          <w:sz w:val="22"/>
          <w:szCs w:val="22"/>
        </w:rPr>
      </w:pPr>
    </w:p>
    <w:p w14:paraId="0B450277" w14:textId="2BDE7C81" w:rsidR="00785FA4" w:rsidRDefault="00785FA4" w:rsidP="00785FA4">
      <w:pPr>
        <w:rPr>
          <w:rFonts w:asciiTheme="majorHAnsi" w:hAnsiTheme="majorHAnsi"/>
          <w:sz w:val="22"/>
          <w:szCs w:val="22"/>
        </w:rPr>
      </w:pPr>
      <w:r>
        <w:rPr>
          <w:rFonts w:asciiTheme="majorHAnsi" w:hAnsiTheme="majorHAnsi"/>
          <w:sz w:val="22"/>
          <w:szCs w:val="22"/>
        </w:rPr>
        <w:t xml:space="preserve">Wilson, T. D., &amp; </w:t>
      </w:r>
      <w:r w:rsidR="00AA7673">
        <w:rPr>
          <w:rFonts w:asciiTheme="majorHAnsi" w:hAnsiTheme="majorHAnsi"/>
          <w:sz w:val="22"/>
          <w:szCs w:val="22"/>
        </w:rPr>
        <w:t>Linville, P. W. (1982)</w:t>
      </w:r>
      <w:r>
        <w:rPr>
          <w:rFonts w:asciiTheme="majorHAnsi" w:hAnsiTheme="majorHAnsi"/>
          <w:sz w:val="22"/>
          <w:szCs w:val="22"/>
        </w:rPr>
        <w:t xml:space="preserve">.  Improving the academic performance of college freshmen: Attribution therapy revisited.  </w:t>
      </w:r>
      <w:r>
        <w:rPr>
          <w:rFonts w:asciiTheme="majorHAnsi" w:hAnsiTheme="majorHAnsi"/>
          <w:i/>
          <w:sz w:val="22"/>
          <w:szCs w:val="22"/>
        </w:rPr>
        <w:t>Journal of Personality and Social Psychology, 42</w:t>
      </w:r>
      <w:r>
        <w:rPr>
          <w:rFonts w:asciiTheme="majorHAnsi" w:hAnsiTheme="majorHAnsi"/>
          <w:sz w:val="22"/>
          <w:szCs w:val="22"/>
        </w:rPr>
        <w:t xml:space="preserve">, </w:t>
      </w:r>
      <w:r w:rsidR="00AA7673">
        <w:rPr>
          <w:rFonts w:asciiTheme="majorHAnsi" w:hAnsiTheme="majorHAnsi"/>
          <w:sz w:val="22"/>
          <w:szCs w:val="22"/>
        </w:rPr>
        <w:t>367-376.</w:t>
      </w:r>
    </w:p>
    <w:p w14:paraId="1534F66D" w14:textId="77777777" w:rsidR="00AA7673" w:rsidRDefault="00AA7673" w:rsidP="00785FA4">
      <w:pPr>
        <w:rPr>
          <w:rFonts w:asciiTheme="majorHAnsi" w:hAnsiTheme="majorHAnsi"/>
          <w:sz w:val="22"/>
          <w:szCs w:val="22"/>
        </w:rPr>
      </w:pPr>
    </w:p>
    <w:p w14:paraId="07EFB5E5" w14:textId="48E7CD9A" w:rsidR="00AA7673" w:rsidRDefault="00AA7673" w:rsidP="00785FA4">
      <w:pPr>
        <w:rPr>
          <w:rFonts w:asciiTheme="majorHAnsi" w:hAnsiTheme="majorHAnsi"/>
          <w:sz w:val="22"/>
          <w:szCs w:val="22"/>
        </w:rPr>
      </w:pPr>
      <w:r>
        <w:rPr>
          <w:rFonts w:asciiTheme="majorHAnsi" w:hAnsiTheme="majorHAnsi"/>
          <w:sz w:val="22"/>
          <w:szCs w:val="22"/>
        </w:rPr>
        <w:t xml:space="preserve">Wilson, T. D., &amp; Linville, P. W. (1985).  Improving the performance of college freshmen with attributional techniques.  </w:t>
      </w:r>
      <w:r>
        <w:rPr>
          <w:rFonts w:asciiTheme="majorHAnsi" w:hAnsiTheme="majorHAnsi"/>
          <w:i/>
          <w:sz w:val="22"/>
          <w:szCs w:val="22"/>
        </w:rPr>
        <w:t>Journal of Personality and Social Psychology, 49</w:t>
      </w:r>
      <w:r>
        <w:rPr>
          <w:rFonts w:asciiTheme="majorHAnsi" w:hAnsiTheme="majorHAnsi"/>
          <w:sz w:val="22"/>
          <w:szCs w:val="22"/>
        </w:rPr>
        <w:t>, 287-293.</w:t>
      </w:r>
    </w:p>
    <w:p w14:paraId="44F6BE1A" w14:textId="77777777" w:rsidR="00AA7673" w:rsidRDefault="00AA7673" w:rsidP="00785FA4">
      <w:pPr>
        <w:rPr>
          <w:rFonts w:asciiTheme="majorHAnsi" w:hAnsiTheme="majorHAnsi"/>
          <w:sz w:val="22"/>
          <w:szCs w:val="22"/>
        </w:rPr>
      </w:pPr>
    </w:p>
    <w:p w14:paraId="7FC764D5" w14:textId="77777777" w:rsidR="00AA7673" w:rsidRPr="00AA7673" w:rsidRDefault="00AA7673" w:rsidP="00785FA4">
      <w:pPr>
        <w:rPr>
          <w:rFonts w:asciiTheme="majorHAnsi" w:hAnsiTheme="majorHAnsi"/>
          <w:sz w:val="22"/>
          <w:szCs w:val="22"/>
        </w:rPr>
      </w:pPr>
    </w:p>
    <w:p w14:paraId="115B3097" w14:textId="77777777" w:rsidR="00AA7673" w:rsidRPr="00785FA4" w:rsidRDefault="00AA7673" w:rsidP="00785FA4">
      <w:pPr>
        <w:rPr>
          <w:rFonts w:asciiTheme="majorHAnsi" w:hAnsiTheme="majorHAnsi"/>
          <w:sz w:val="22"/>
          <w:szCs w:val="22"/>
        </w:rPr>
      </w:pPr>
    </w:p>
    <w:p w14:paraId="03B9D5A0" w14:textId="77777777" w:rsidR="00785FA4" w:rsidRPr="00785FA4" w:rsidRDefault="00785FA4" w:rsidP="00785FA4"/>
    <w:sectPr w:rsidR="00785FA4" w:rsidRPr="00785FA4" w:rsidSect="0024255F">
      <w:footerReference w:type="even" r:id="rId6"/>
      <w:footerReference w:type="default" r:id="rId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89E7D" w14:textId="77777777" w:rsidR="00D825B1" w:rsidRDefault="00D825B1" w:rsidP="00434331">
      <w:r>
        <w:separator/>
      </w:r>
    </w:p>
  </w:endnote>
  <w:endnote w:type="continuationSeparator" w:id="0">
    <w:p w14:paraId="666306D9" w14:textId="77777777" w:rsidR="00D825B1" w:rsidRDefault="00D825B1" w:rsidP="0043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BB5C8" w14:textId="77777777" w:rsidR="00434331" w:rsidRDefault="00434331" w:rsidP="00184B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ABD65E" w14:textId="77777777" w:rsidR="00434331" w:rsidRDefault="00434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C6F44" w14:textId="77777777" w:rsidR="00285A9B" w:rsidRPr="00285A9B" w:rsidRDefault="00285A9B" w:rsidP="00285A9B">
    <w:pPr>
      <w:pStyle w:val="Header"/>
      <w:jc w:val="right"/>
      <w:rPr>
        <w:rFonts w:asciiTheme="majorHAnsi" w:hAnsiTheme="majorHAnsi"/>
        <w:sz w:val="21"/>
        <w:szCs w:val="21"/>
      </w:rPr>
    </w:pPr>
    <w:r w:rsidRPr="00285A9B">
      <w:rPr>
        <w:rFonts w:asciiTheme="majorHAnsi" w:hAnsiTheme="majorHAnsi"/>
        <w:sz w:val="21"/>
        <w:szCs w:val="21"/>
      </w:rPr>
      <w:t>Social-Psychological Interventions in Education: They’re not Magic</w:t>
    </w:r>
  </w:p>
  <w:p w14:paraId="4E5552AD" w14:textId="77777777" w:rsidR="00285A9B" w:rsidRPr="00285A9B" w:rsidRDefault="00285A9B" w:rsidP="00285A9B">
    <w:pPr>
      <w:pStyle w:val="Header"/>
      <w:jc w:val="right"/>
      <w:rPr>
        <w:rFonts w:asciiTheme="majorHAnsi" w:hAnsiTheme="majorHAnsi"/>
        <w:sz w:val="21"/>
        <w:szCs w:val="21"/>
      </w:rPr>
    </w:pPr>
    <w:r w:rsidRPr="00285A9B">
      <w:rPr>
        <w:rFonts w:asciiTheme="majorHAnsi" w:hAnsiTheme="majorHAnsi"/>
        <w:sz w:val="21"/>
        <w:szCs w:val="21"/>
      </w:rPr>
      <w:t>David S. Yeager and Gregory M. Walton</w:t>
    </w:r>
  </w:p>
  <w:p w14:paraId="3A51A1EC" w14:textId="77777777" w:rsidR="00285A9B" w:rsidRPr="00285A9B" w:rsidRDefault="00285A9B" w:rsidP="00285A9B">
    <w:pPr>
      <w:pStyle w:val="Header"/>
      <w:jc w:val="right"/>
      <w:rPr>
        <w:rFonts w:asciiTheme="majorHAnsi" w:hAnsiTheme="majorHAnsi"/>
        <w:sz w:val="21"/>
        <w:szCs w:val="21"/>
      </w:rPr>
    </w:pPr>
    <w:r w:rsidRPr="00285A9B">
      <w:rPr>
        <w:rFonts w:asciiTheme="majorHAnsi" w:hAnsiTheme="majorHAnsi"/>
        <w:sz w:val="21"/>
        <w:szCs w:val="21"/>
      </w:rPr>
      <w:t>Review of Educational Research</w:t>
    </w:r>
  </w:p>
  <w:p w14:paraId="2A6E9DAD" w14:textId="77777777" w:rsidR="00285A9B" w:rsidRPr="00285A9B" w:rsidRDefault="00285A9B" w:rsidP="00285A9B">
    <w:pPr>
      <w:pStyle w:val="Footer"/>
      <w:framePr w:h="365" w:hRule="exact" w:wrap="around" w:vAnchor="text" w:hAnchor="page" w:x="7822" w:y="24"/>
      <w:rPr>
        <w:rStyle w:val="PageNumber"/>
        <w:rFonts w:asciiTheme="majorHAnsi" w:hAnsiTheme="majorHAnsi"/>
        <w:sz w:val="21"/>
        <w:szCs w:val="21"/>
      </w:rPr>
    </w:pPr>
    <w:r w:rsidRPr="00285A9B">
      <w:rPr>
        <w:rStyle w:val="PageNumber"/>
        <w:rFonts w:asciiTheme="majorHAnsi" w:hAnsiTheme="majorHAnsi"/>
        <w:sz w:val="21"/>
        <w:szCs w:val="21"/>
      </w:rPr>
      <w:fldChar w:fldCharType="begin"/>
    </w:r>
    <w:r w:rsidRPr="00285A9B">
      <w:rPr>
        <w:rStyle w:val="PageNumber"/>
        <w:rFonts w:asciiTheme="majorHAnsi" w:hAnsiTheme="majorHAnsi"/>
        <w:sz w:val="21"/>
        <w:szCs w:val="21"/>
      </w:rPr>
      <w:instrText xml:space="preserve">PAGE  </w:instrText>
    </w:r>
    <w:r w:rsidRPr="00285A9B">
      <w:rPr>
        <w:rStyle w:val="PageNumber"/>
        <w:rFonts w:asciiTheme="majorHAnsi" w:hAnsiTheme="majorHAnsi"/>
        <w:sz w:val="21"/>
        <w:szCs w:val="21"/>
      </w:rPr>
      <w:fldChar w:fldCharType="separate"/>
    </w:r>
    <w:r w:rsidR="00375CC4">
      <w:rPr>
        <w:rStyle w:val="PageNumber"/>
        <w:rFonts w:asciiTheme="majorHAnsi" w:hAnsiTheme="majorHAnsi"/>
        <w:noProof/>
        <w:sz w:val="21"/>
        <w:szCs w:val="21"/>
      </w:rPr>
      <w:t>1</w:t>
    </w:r>
    <w:r w:rsidRPr="00285A9B">
      <w:rPr>
        <w:rStyle w:val="PageNumber"/>
        <w:rFonts w:asciiTheme="majorHAnsi" w:hAnsiTheme="majorHAnsi"/>
        <w:sz w:val="21"/>
        <w:szCs w:val="21"/>
      </w:rPr>
      <w:fldChar w:fldCharType="end"/>
    </w:r>
  </w:p>
  <w:p w14:paraId="68BDA3DD" w14:textId="77777777" w:rsidR="00285A9B" w:rsidRPr="00285A9B" w:rsidRDefault="00285A9B" w:rsidP="00285A9B">
    <w:pPr>
      <w:pStyle w:val="Header"/>
      <w:jc w:val="right"/>
      <w:rPr>
        <w:rFonts w:asciiTheme="majorHAnsi" w:hAnsiTheme="majorHAnsi"/>
        <w:sz w:val="21"/>
        <w:szCs w:val="21"/>
      </w:rPr>
    </w:pPr>
    <w:r w:rsidRPr="00285A9B">
      <w:rPr>
        <w:rFonts w:asciiTheme="majorHAnsi" w:hAnsiTheme="majorHAnsi"/>
        <w:sz w:val="21"/>
        <w:szCs w:val="21"/>
      </w:rPr>
      <w:t>June 2011, Vol. 81, No.2, pp. 267-301</w:t>
    </w:r>
  </w:p>
  <w:p w14:paraId="3111F626" w14:textId="77777777" w:rsidR="00434331" w:rsidRPr="00285A9B" w:rsidRDefault="00434331">
    <w:pPr>
      <w:pStyle w:val="Footer"/>
      <w:rPr>
        <w:rFonts w:asciiTheme="majorHAnsi" w:hAnsiTheme="majorHAnsi"/>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0BD6F" w14:textId="77777777" w:rsidR="00D825B1" w:rsidRDefault="00D825B1" w:rsidP="00434331">
      <w:r>
        <w:separator/>
      </w:r>
    </w:p>
  </w:footnote>
  <w:footnote w:type="continuationSeparator" w:id="0">
    <w:p w14:paraId="4036A6C3" w14:textId="77777777" w:rsidR="00D825B1" w:rsidRDefault="00D825B1" w:rsidP="00434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5F"/>
    <w:rsid w:val="0007675A"/>
    <w:rsid w:val="000F349F"/>
    <w:rsid w:val="00225EB7"/>
    <w:rsid w:val="0024255F"/>
    <w:rsid w:val="0028369A"/>
    <w:rsid w:val="00285A9B"/>
    <w:rsid w:val="002F3844"/>
    <w:rsid w:val="00375CC4"/>
    <w:rsid w:val="003A3E2D"/>
    <w:rsid w:val="003E7CA0"/>
    <w:rsid w:val="00434331"/>
    <w:rsid w:val="00486B42"/>
    <w:rsid w:val="006D04CF"/>
    <w:rsid w:val="006F7C85"/>
    <w:rsid w:val="00785FA4"/>
    <w:rsid w:val="00857CEF"/>
    <w:rsid w:val="00993989"/>
    <w:rsid w:val="00AA7673"/>
    <w:rsid w:val="00AC3C23"/>
    <w:rsid w:val="00AD270A"/>
    <w:rsid w:val="00C47D44"/>
    <w:rsid w:val="00C60444"/>
    <w:rsid w:val="00D825B1"/>
    <w:rsid w:val="00E74F82"/>
    <w:rsid w:val="00FD2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083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331"/>
    <w:pPr>
      <w:tabs>
        <w:tab w:val="center" w:pos="4320"/>
        <w:tab w:val="right" w:pos="8640"/>
      </w:tabs>
    </w:pPr>
  </w:style>
  <w:style w:type="character" w:customStyle="1" w:styleId="HeaderChar">
    <w:name w:val="Header Char"/>
    <w:basedOn w:val="DefaultParagraphFont"/>
    <w:link w:val="Header"/>
    <w:uiPriority w:val="99"/>
    <w:rsid w:val="00434331"/>
  </w:style>
  <w:style w:type="paragraph" w:styleId="Footer">
    <w:name w:val="footer"/>
    <w:basedOn w:val="Normal"/>
    <w:link w:val="FooterChar"/>
    <w:uiPriority w:val="99"/>
    <w:unhideWhenUsed/>
    <w:rsid w:val="00434331"/>
    <w:pPr>
      <w:tabs>
        <w:tab w:val="center" w:pos="4320"/>
        <w:tab w:val="right" w:pos="8640"/>
      </w:tabs>
    </w:pPr>
  </w:style>
  <w:style w:type="character" w:customStyle="1" w:styleId="FooterChar">
    <w:name w:val="Footer Char"/>
    <w:basedOn w:val="DefaultParagraphFont"/>
    <w:link w:val="Footer"/>
    <w:uiPriority w:val="99"/>
    <w:rsid w:val="00434331"/>
  </w:style>
  <w:style w:type="character" w:styleId="PageNumber">
    <w:name w:val="page number"/>
    <w:basedOn w:val="DefaultParagraphFont"/>
    <w:uiPriority w:val="99"/>
    <w:semiHidden/>
    <w:unhideWhenUsed/>
    <w:rsid w:val="00434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1148</Words>
  <Characters>6545</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Summary of Selected Social-Psychological Interventions to Improve Student Achiev</vt:lpstr>
    </vt:vector>
  </TitlesOfParts>
  <Company>WWU</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Warren</dc:creator>
  <cp:keywords/>
  <dc:description/>
  <cp:lastModifiedBy>Blanche Bybee</cp:lastModifiedBy>
  <cp:revision>2</cp:revision>
  <dcterms:created xsi:type="dcterms:W3CDTF">2020-04-20T22:38:00Z</dcterms:created>
  <dcterms:modified xsi:type="dcterms:W3CDTF">2020-04-20T22:38:00Z</dcterms:modified>
</cp:coreProperties>
</file>